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BACCBC">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center"/>
        <w:textAlignment w:val="auto"/>
        <w:rPr>
          <w:rFonts w:hint="eastAsia" w:ascii="宋体" w:hAnsi="宋体" w:eastAsia="宋体" w:cs="宋体"/>
          <w:color w:val="auto"/>
          <w:highlight w:val="none"/>
        </w:rPr>
      </w:pPr>
    </w:p>
    <w:p w14:paraId="25EA5B5B">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center"/>
        <w:textAlignment w:val="auto"/>
        <w:rPr>
          <w:rFonts w:hint="eastAsia" w:ascii="宋体" w:hAnsi="宋体" w:eastAsia="宋体" w:cs="宋体"/>
          <w:color w:val="auto"/>
          <w:highlight w:val="none"/>
        </w:rPr>
      </w:pPr>
      <w:r>
        <w:rPr>
          <w:rFonts w:hint="eastAsia" w:ascii="宋体" w:hAnsi="宋体" w:eastAsia="宋体" w:cs="宋体"/>
          <w:b/>
          <w:color w:val="auto"/>
          <w:sz w:val="84"/>
          <w:szCs w:val="84"/>
          <w:highlight w:val="none"/>
        </w:rPr>
        <w:t>招 标 文 件</w:t>
      </w:r>
    </w:p>
    <w:p w14:paraId="24A101FD">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center"/>
        <w:textAlignment w:val="auto"/>
        <w:rPr>
          <w:rFonts w:hint="eastAsia" w:ascii="宋体" w:hAnsi="宋体" w:eastAsia="宋体" w:cs="宋体"/>
          <w:b/>
          <w:color w:val="auto"/>
          <w:sz w:val="32"/>
          <w:szCs w:val="32"/>
          <w:highlight w:val="none"/>
        </w:rPr>
      </w:pPr>
    </w:p>
    <w:p w14:paraId="1F7A28E2">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center"/>
        <w:textAlignment w:val="auto"/>
        <w:rPr>
          <w:rFonts w:hint="eastAsia" w:ascii="宋体" w:hAnsi="宋体" w:eastAsia="宋体" w:cs="宋体"/>
          <w:b/>
          <w:color w:val="auto"/>
          <w:sz w:val="32"/>
          <w:szCs w:val="32"/>
          <w:highlight w:val="none"/>
        </w:rPr>
      </w:pPr>
    </w:p>
    <w:p w14:paraId="26B9C931">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center"/>
        <w:textAlignment w:val="auto"/>
        <w:rPr>
          <w:rFonts w:hint="eastAsia" w:ascii="宋体" w:hAnsi="宋体" w:eastAsia="宋体" w:cs="宋体"/>
          <w:b/>
          <w:color w:val="auto"/>
          <w:sz w:val="28"/>
          <w:szCs w:val="28"/>
          <w:highlight w:val="none"/>
        </w:rPr>
      </w:pPr>
    </w:p>
    <w:p w14:paraId="2F2E8B67">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center"/>
        <w:textAlignment w:val="auto"/>
        <w:rPr>
          <w:rFonts w:hint="eastAsia" w:ascii="宋体" w:hAnsi="宋体" w:eastAsia="宋体" w:cs="宋体"/>
          <w:b/>
          <w:color w:val="auto"/>
          <w:sz w:val="28"/>
          <w:szCs w:val="28"/>
          <w:highlight w:val="none"/>
        </w:rPr>
      </w:pPr>
    </w:p>
    <w:p w14:paraId="53682365">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center"/>
        <w:textAlignment w:val="auto"/>
        <w:rPr>
          <w:rFonts w:hint="eastAsia" w:ascii="宋体" w:hAnsi="宋体" w:eastAsia="宋体" w:cs="宋体"/>
          <w:b/>
          <w:color w:val="auto"/>
          <w:sz w:val="28"/>
          <w:szCs w:val="28"/>
          <w:highlight w:val="none"/>
        </w:rPr>
      </w:pPr>
    </w:p>
    <w:p w14:paraId="25FEA568">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center"/>
        <w:textAlignment w:val="auto"/>
        <w:rPr>
          <w:rFonts w:hint="eastAsia" w:ascii="宋体" w:hAnsi="宋体" w:eastAsia="宋体" w:cs="宋体"/>
          <w:b/>
          <w:color w:val="auto"/>
          <w:sz w:val="28"/>
          <w:szCs w:val="28"/>
          <w:highlight w:val="none"/>
        </w:rPr>
      </w:pPr>
    </w:p>
    <w:p w14:paraId="2FBC3CC6">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项目名称：智慧公安-“亮剑一号”道路交通安全提升工程建设项目-亮剑一号工程</w:t>
      </w:r>
    </w:p>
    <w:p w14:paraId="2317DB74">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项目编号：</w:t>
      </w:r>
      <w:r>
        <w:rPr>
          <w:rFonts w:hint="eastAsia" w:ascii="宋体" w:hAnsi="宋体" w:eastAsia="宋体" w:cs="宋体"/>
          <w:b/>
          <w:color w:val="auto"/>
          <w:sz w:val="24"/>
          <w:szCs w:val="24"/>
          <w:highlight w:val="none"/>
          <w:lang w:val="en-US" w:eastAsia="zh-CN"/>
        </w:rPr>
        <w:t>JSZC-320904-JZCG-G2025-0039</w:t>
      </w:r>
    </w:p>
    <w:p w14:paraId="247F32B2">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center"/>
        <w:textAlignment w:val="auto"/>
        <w:rPr>
          <w:rFonts w:hint="eastAsia" w:ascii="宋体" w:hAnsi="宋体" w:eastAsia="宋体" w:cs="宋体"/>
          <w:color w:val="auto"/>
          <w:highlight w:val="none"/>
        </w:rPr>
      </w:pPr>
    </w:p>
    <w:p w14:paraId="53F53888">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center"/>
        <w:textAlignment w:val="auto"/>
        <w:rPr>
          <w:rFonts w:hint="eastAsia" w:ascii="宋体" w:hAnsi="宋体" w:eastAsia="宋体" w:cs="宋体"/>
          <w:color w:val="auto"/>
          <w:highlight w:val="none"/>
        </w:rPr>
      </w:pPr>
    </w:p>
    <w:p w14:paraId="42CDA5B8">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center"/>
        <w:textAlignment w:val="auto"/>
        <w:rPr>
          <w:rFonts w:hint="eastAsia" w:ascii="宋体" w:hAnsi="宋体" w:eastAsia="宋体" w:cs="宋体"/>
          <w:color w:val="auto"/>
          <w:highlight w:val="none"/>
        </w:rPr>
      </w:pPr>
    </w:p>
    <w:p w14:paraId="229D8187">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center"/>
        <w:textAlignment w:val="auto"/>
        <w:rPr>
          <w:rFonts w:hint="eastAsia" w:ascii="宋体" w:hAnsi="宋体" w:eastAsia="宋体" w:cs="宋体"/>
          <w:color w:val="auto"/>
          <w:highlight w:val="none"/>
        </w:rPr>
      </w:pPr>
    </w:p>
    <w:p w14:paraId="2AA0FAB1">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center"/>
        <w:textAlignment w:val="auto"/>
        <w:rPr>
          <w:rFonts w:hint="eastAsia" w:ascii="宋体" w:hAnsi="宋体" w:eastAsia="宋体" w:cs="宋体"/>
          <w:color w:val="auto"/>
          <w:highlight w:val="none"/>
        </w:rPr>
      </w:pPr>
    </w:p>
    <w:p w14:paraId="0E0E8C15">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center"/>
        <w:textAlignment w:val="auto"/>
        <w:rPr>
          <w:rFonts w:hint="eastAsia" w:ascii="宋体" w:hAnsi="宋体" w:eastAsia="宋体" w:cs="宋体"/>
          <w:color w:val="auto"/>
          <w:highlight w:val="none"/>
        </w:rPr>
      </w:pPr>
    </w:p>
    <w:p w14:paraId="45BFA3CE">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center"/>
        <w:textAlignment w:val="auto"/>
        <w:rPr>
          <w:rFonts w:hint="eastAsia" w:ascii="宋体" w:hAnsi="宋体" w:eastAsia="宋体" w:cs="宋体"/>
          <w:color w:val="auto"/>
          <w:highlight w:val="none"/>
        </w:rPr>
      </w:pPr>
    </w:p>
    <w:p w14:paraId="59E85C12">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center"/>
        <w:textAlignment w:val="auto"/>
        <w:rPr>
          <w:rFonts w:hint="eastAsia" w:ascii="宋体" w:hAnsi="宋体" w:eastAsia="宋体" w:cs="宋体"/>
          <w:color w:val="auto"/>
          <w:highlight w:val="none"/>
        </w:rPr>
      </w:pPr>
    </w:p>
    <w:p w14:paraId="135A9E5D">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center"/>
        <w:textAlignment w:val="auto"/>
        <w:rPr>
          <w:rFonts w:hint="eastAsia" w:ascii="宋体" w:hAnsi="宋体" w:eastAsia="宋体" w:cs="宋体"/>
          <w:color w:val="auto"/>
          <w:highlight w:val="none"/>
        </w:rPr>
      </w:pPr>
    </w:p>
    <w:p w14:paraId="4773E298">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center"/>
        <w:textAlignment w:val="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盐城市公安局大丰分局</w:t>
      </w:r>
    </w:p>
    <w:p w14:paraId="197E0947">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lang w:val="en-US" w:eastAsia="zh-CN"/>
        </w:rPr>
        <w:t>2025</w:t>
      </w:r>
      <w:r>
        <w:rPr>
          <w:rFonts w:hint="eastAsia" w:ascii="宋体" w:hAnsi="宋体" w:eastAsia="宋体" w:cs="宋体"/>
          <w:b/>
          <w:color w:val="auto"/>
          <w:sz w:val="28"/>
          <w:szCs w:val="28"/>
          <w:highlight w:val="none"/>
        </w:rPr>
        <w:t>年</w:t>
      </w:r>
      <w:r>
        <w:rPr>
          <w:rFonts w:hint="eastAsia" w:ascii="宋体" w:hAnsi="宋体" w:eastAsia="宋体" w:cs="宋体"/>
          <w:b/>
          <w:color w:val="auto"/>
          <w:sz w:val="28"/>
          <w:szCs w:val="28"/>
          <w:highlight w:val="none"/>
          <w:lang w:val="en-US" w:eastAsia="zh-CN"/>
        </w:rPr>
        <w:t>12</w:t>
      </w:r>
      <w:r>
        <w:rPr>
          <w:rFonts w:hint="eastAsia" w:ascii="宋体" w:hAnsi="宋体" w:eastAsia="宋体" w:cs="宋体"/>
          <w:b/>
          <w:color w:val="auto"/>
          <w:sz w:val="28"/>
          <w:szCs w:val="28"/>
          <w:highlight w:val="none"/>
        </w:rPr>
        <w:t>月</w:t>
      </w:r>
    </w:p>
    <w:p w14:paraId="2980347A">
      <w:pPr>
        <w:pStyle w:val="31"/>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3960D174">
      <w:pPr>
        <w:pStyle w:val="31"/>
        <w:spacing w:before="120" w:beforeAutospacing="0" w:after="12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7FEBA746">
      <w:pPr>
        <w:pStyle w:val="31"/>
        <w:spacing w:beforeAutospacing="0" w:afterAutospacing="0" w:line="480" w:lineRule="auto"/>
        <w:jc w:val="center"/>
        <w:rPr>
          <w:rFonts w:hint="eastAsia" w:ascii="宋体" w:hAnsi="宋体" w:eastAsia="宋体" w:cs="宋体"/>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w:t>
      </w:r>
      <w:bookmarkStart w:id="0" w:name="_Toc20823272"/>
      <w:bookmarkStart w:id="1" w:name="_Toc120614210"/>
      <w:bookmarkStart w:id="2" w:name="_Toc479757206"/>
      <w:bookmarkStart w:id="3" w:name="_Toc513029200"/>
      <w:bookmarkStart w:id="4" w:name="_Toc16938516"/>
      <w:bookmarkStart w:id="5" w:name="_Toc523127445"/>
      <w:r>
        <w:rPr>
          <w:rFonts w:hint="eastAsia" w:ascii="宋体" w:hAnsi="宋体" w:eastAsia="宋体" w:cs="宋体"/>
          <w:b/>
          <w:color w:val="auto"/>
          <w:sz w:val="44"/>
          <w:szCs w:val="44"/>
          <w:highlight w:val="none"/>
        </w:rPr>
        <w:t>总  目  录</w:t>
      </w:r>
      <w:bookmarkEnd w:id="0"/>
      <w:bookmarkEnd w:id="1"/>
      <w:bookmarkEnd w:id="2"/>
      <w:bookmarkEnd w:id="3"/>
      <w:bookmarkEnd w:id="4"/>
      <w:bookmarkEnd w:id="5"/>
    </w:p>
    <w:p w14:paraId="4B738C3A">
      <w:pPr>
        <w:pStyle w:val="31"/>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910303E">
      <w:pPr>
        <w:rPr>
          <w:rFonts w:hint="eastAsia" w:ascii="宋体" w:hAnsi="宋体" w:eastAsia="宋体" w:cs="宋体"/>
          <w:color w:val="auto"/>
          <w:highlight w:val="none"/>
        </w:rPr>
      </w:pPr>
    </w:p>
    <w:p w14:paraId="60EF1407">
      <w:pPr>
        <w:pStyle w:val="31"/>
        <w:tabs>
          <w:tab w:val="left" w:pos="1441"/>
        </w:tabs>
        <w:spacing w:beforeAutospacing="0" w:afterAutospacing="0" w:line="480" w:lineRule="auto"/>
        <w:ind w:left="2160" w:hanging="1440"/>
        <w:jc w:val="both"/>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招标公告</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lang w:val="en-US" w:eastAsia="zh-CN"/>
        </w:rPr>
        <w:t>03</w:t>
      </w:r>
    </w:p>
    <w:p w14:paraId="5E8CB3A6">
      <w:pPr>
        <w:pStyle w:val="31"/>
        <w:tabs>
          <w:tab w:val="left" w:pos="1441"/>
        </w:tabs>
        <w:spacing w:beforeAutospacing="0" w:afterAutospacing="0" w:line="480" w:lineRule="auto"/>
        <w:ind w:left="2160" w:hanging="1440"/>
        <w:jc w:val="both"/>
        <w:rPr>
          <w:rFonts w:hint="eastAsia" w:ascii="宋体" w:hAnsi="宋体" w:eastAsia="宋体" w:cs="宋体"/>
          <w:color w:val="auto"/>
          <w:highlight w:val="none"/>
        </w:rPr>
      </w:pPr>
      <w:r>
        <w:rPr>
          <w:rFonts w:hint="eastAsia" w:ascii="宋体" w:hAnsi="宋体" w:eastAsia="宋体" w:cs="宋体"/>
          <w:color w:val="auto"/>
          <w:sz w:val="36"/>
          <w:szCs w:val="36"/>
          <w:highlight w:val="none"/>
        </w:rPr>
        <w:t>投标人须知………………………………………</w:t>
      </w:r>
      <w:r>
        <w:rPr>
          <w:rFonts w:hint="eastAsia" w:ascii="宋体" w:hAnsi="宋体" w:eastAsia="宋体" w:cs="宋体"/>
          <w:color w:val="auto"/>
          <w:sz w:val="36"/>
          <w:szCs w:val="36"/>
          <w:highlight w:val="none"/>
          <w:lang w:val="en-US" w:eastAsia="zh-CN"/>
        </w:rPr>
        <w:t>06</w:t>
      </w:r>
      <w:r>
        <w:rPr>
          <w:rFonts w:hint="eastAsia" w:ascii="宋体" w:hAnsi="宋体" w:eastAsia="宋体" w:cs="宋体"/>
          <w:color w:val="auto"/>
          <w:sz w:val="36"/>
          <w:szCs w:val="36"/>
          <w:highlight w:val="none"/>
        </w:rPr>
        <w:t xml:space="preserve"> </w:t>
      </w:r>
    </w:p>
    <w:p w14:paraId="4E98321F">
      <w:pPr>
        <w:pStyle w:val="31"/>
        <w:tabs>
          <w:tab w:val="left" w:pos="1441"/>
        </w:tabs>
        <w:spacing w:beforeAutospacing="0" w:afterAutospacing="0" w:line="480" w:lineRule="auto"/>
        <w:ind w:left="2160" w:hanging="1440"/>
        <w:jc w:val="both"/>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合同</w:t>
      </w:r>
      <w:r>
        <w:rPr>
          <w:rFonts w:hint="eastAsia" w:ascii="宋体" w:hAnsi="宋体" w:eastAsia="宋体" w:cs="宋体"/>
          <w:color w:val="auto"/>
          <w:sz w:val="36"/>
          <w:szCs w:val="36"/>
          <w:highlight w:val="none"/>
          <w:lang w:eastAsia="zh-CN"/>
        </w:rPr>
        <w:t>条款</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lang w:val="en-US" w:eastAsia="zh-CN"/>
        </w:rPr>
        <w:t>20</w:t>
      </w:r>
    </w:p>
    <w:p w14:paraId="0E4A8A74">
      <w:pPr>
        <w:pStyle w:val="31"/>
        <w:tabs>
          <w:tab w:val="left" w:pos="1441"/>
        </w:tabs>
        <w:spacing w:beforeAutospacing="0" w:afterAutospacing="0" w:line="480" w:lineRule="auto"/>
        <w:ind w:left="2160" w:hanging="1440"/>
        <w:jc w:val="both"/>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采购需求…………………………………………</w:t>
      </w:r>
      <w:r>
        <w:rPr>
          <w:rFonts w:hint="eastAsia" w:ascii="宋体" w:hAnsi="宋体" w:eastAsia="宋体" w:cs="宋体"/>
          <w:color w:val="auto"/>
          <w:sz w:val="36"/>
          <w:szCs w:val="36"/>
          <w:highlight w:val="none"/>
          <w:lang w:val="en-US" w:eastAsia="zh-CN"/>
        </w:rPr>
        <w:t>25</w:t>
      </w:r>
    </w:p>
    <w:p w14:paraId="53724DB0">
      <w:pPr>
        <w:pStyle w:val="31"/>
        <w:tabs>
          <w:tab w:val="left" w:pos="1441"/>
        </w:tabs>
        <w:spacing w:beforeAutospacing="0" w:afterAutospacing="0" w:line="480" w:lineRule="auto"/>
        <w:ind w:left="2160" w:hanging="1440"/>
        <w:jc w:val="both"/>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评标方法与评标标准……………………………</w:t>
      </w:r>
      <w:r>
        <w:rPr>
          <w:rFonts w:hint="eastAsia" w:ascii="宋体" w:hAnsi="宋体" w:eastAsia="宋体" w:cs="宋体"/>
          <w:color w:val="auto"/>
          <w:sz w:val="36"/>
          <w:szCs w:val="36"/>
          <w:highlight w:val="none"/>
          <w:lang w:val="en-US" w:eastAsia="zh-CN"/>
        </w:rPr>
        <w:t>95</w:t>
      </w:r>
    </w:p>
    <w:p w14:paraId="45B96E0D">
      <w:pPr>
        <w:pStyle w:val="31"/>
        <w:tabs>
          <w:tab w:val="left" w:pos="1441"/>
        </w:tabs>
        <w:spacing w:beforeAutospacing="0" w:afterAutospacing="0" w:line="480" w:lineRule="auto"/>
        <w:ind w:left="2160" w:hanging="1440"/>
        <w:jc w:val="both"/>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投标文件格式……………………………………</w:t>
      </w:r>
      <w:r>
        <w:rPr>
          <w:rFonts w:hint="eastAsia" w:ascii="宋体" w:hAnsi="宋体" w:eastAsia="宋体" w:cs="宋体"/>
          <w:color w:val="auto"/>
          <w:sz w:val="36"/>
          <w:szCs w:val="36"/>
          <w:highlight w:val="none"/>
          <w:lang w:val="en-US" w:eastAsia="zh-CN"/>
        </w:rPr>
        <w:t>100</w:t>
      </w:r>
    </w:p>
    <w:p w14:paraId="70330CF2">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E362F88">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5A20AE3">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4604957">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5220E6F">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6925048">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6D38E56">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2F526C2">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A1A2E3D">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DD13E24">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C75AF43">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5E182E4">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BD8645E">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8F99DCF">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A959197">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4F8B4F7">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1395559">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187610B">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F391E8B">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E5826AB">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D36C843">
      <w:pPr>
        <w:pStyle w:val="31"/>
        <w:keepNext w:val="0"/>
        <w:keepLines w:val="0"/>
        <w:pageBreakBefore w:val="0"/>
        <w:widowControl w:val="0"/>
        <w:kinsoku/>
        <w:wordWrap/>
        <w:overflowPunct/>
        <w:topLinePunct w:val="0"/>
        <w:autoSpaceDE/>
        <w:autoSpaceDN/>
        <w:bidi w:val="0"/>
        <w:adjustRightInd/>
        <w:snapToGrid/>
        <w:spacing w:beforeAutospacing="0" w:afterAutospacing="0"/>
        <w:jc w:val="center"/>
        <w:textAlignment w:val="auto"/>
        <w:rPr>
          <w:rFonts w:hint="eastAsia" w:ascii="宋体" w:hAnsi="宋体" w:eastAsia="宋体" w:cs="宋体"/>
          <w:color w:val="auto"/>
          <w:highlight w:val="none"/>
          <w:lang w:val="en-US" w:eastAsia="zh-CN"/>
        </w:rPr>
      </w:pPr>
      <w:bookmarkStart w:id="6" w:name="_Toc10306"/>
      <w:bookmarkStart w:id="7" w:name="_Toc28359086"/>
      <w:r>
        <w:rPr>
          <w:rFonts w:hint="eastAsia" w:ascii="宋体" w:hAnsi="宋体" w:eastAsia="宋体" w:cs="宋体"/>
          <w:b/>
          <w:bCs/>
          <w:color w:val="auto"/>
          <w:sz w:val="44"/>
          <w:szCs w:val="44"/>
          <w:highlight w:val="none"/>
        </w:rPr>
        <w:t>第一章 </w:t>
      </w:r>
      <w:r>
        <w:rPr>
          <w:rFonts w:hint="eastAsia" w:ascii="宋体" w:hAnsi="宋体" w:eastAsia="宋体" w:cs="宋体"/>
          <w:b/>
          <w:bCs/>
          <w:color w:val="auto"/>
          <w:sz w:val="44"/>
          <w:szCs w:val="44"/>
          <w:highlight w:val="none"/>
          <w:lang w:val="en-US" w:eastAsia="zh-CN"/>
        </w:rPr>
        <w:t>招标公告</w:t>
      </w:r>
      <w:bookmarkEnd w:id="6"/>
    </w:p>
    <w:p w14:paraId="4FEA5B37">
      <w:pPr>
        <w:pStyle w:val="31"/>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40" w:lineRule="exact"/>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项目概况</w:t>
      </w:r>
    </w:p>
    <w:p w14:paraId="5440DD00">
      <w:pPr>
        <w:pStyle w:val="31"/>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eastAsia="zh-CN"/>
        </w:rPr>
        <w:t>智慧公安-“亮剑一号”道路交通安全提升工程建设项目-亮剑一号工程</w:t>
      </w:r>
      <w:r>
        <w:rPr>
          <w:rFonts w:hint="eastAsia" w:ascii="宋体" w:hAnsi="宋体" w:eastAsia="宋体" w:cs="宋体"/>
          <w:color w:val="auto"/>
          <w:sz w:val="24"/>
          <w:szCs w:val="24"/>
          <w:highlight w:val="none"/>
          <w:u w:val="single"/>
          <w:lang w:val="en-US" w:eastAsia="zh-CN"/>
        </w:rPr>
        <w:t xml:space="preserve"> JSZC-320904-JZCG-G2025-0039</w:t>
      </w:r>
      <w:r>
        <w:rPr>
          <w:rFonts w:hint="eastAsia" w:ascii="宋体" w:hAnsi="宋体" w:eastAsia="宋体" w:cs="宋体"/>
          <w:i w:val="0"/>
          <w:iCs w:val="0"/>
          <w:color w:val="auto"/>
          <w:sz w:val="24"/>
          <w:szCs w:val="24"/>
          <w:highlight w:val="none"/>
          <w:u w:val="none"/>
        </w:rPr>
        <w:t>招标项目的潜在投标人应在“苏采云”系统内免费下载（投标人必须在苏采云系统中获取采购文件，方能参与政府采购项目）获取</w:t>
      </w:r>
      <w:r>
        <w:rPr>
          <w:rFonts w:hint="eastAsia" w:ascii="宋体" w:hAnsi="宋体" w:eastAsia="宋体" w:cs="宋体"/>
          <w:i w:val="0"/>
          <w:iCs w:val="0"/>
          <w:color w:val="auto"/>
          <w:sz w:val="24"/>
          <w:szCs w:val="24"/>
          <w:highlight w:val="none"/>
          <w:u w:val="none"/>
          <w:lang w:val="en-US" w:eastAsia="zh-CN"/>
        </w:rPr>
        <w:t>招标</w:t>
      </w:r>
      <w:r>
        <w:rPr>
          <w:rFonts w:hint="eastAsia" w:ascii="宋体" w:hAnsi="宋体" w:eastAsia="宋体" w:cs="宋体"/>
          <w:i w:val="0"/>
          <w:iCs w:val="0"/>
          <w:color w:val="auto"/>
          <w:sz w:val="24"/>
          <w:szCs w:val="24"/>
          <w:highlight w:val="none"/>
          <w:u w:val="none"/>
        </w:rPr>
        <w:t>文件 ，并于</w:t>
      </w:r>
      <w:r>
        <w:rPr>
          <w:rFonts w:hint="eastAsia" w:ascii="宋体" w:hAnsi="宋体" w:eastAsia="宋体" w:cs="宋体"/>
          <w:i w:val="0"/>
          <w:iCs w:val="0"/>
          <w:color w:val="auto"/>
          <w:sz w:val="24"/>
          <w:szCs w:val="24"/>
          <w:highlight w:val="none"/>
          <w:u w:val="single"/>
          <w:lang w:eastAsia="zh-CN"/>
        </w:rPr>
        <w:t>2025</w:t>
      </w:r>
      <w:r>
        <w:rPr>
          <w:rFonts w:hint="eastAsia" w:ascii="宋体" w:hAnsi="宋体" w:eastAsia="宋体" w:cs="宋体"/>
          <w:i w:val="0"/>
          <w:iCs w:val="0"/>
          <w:color w:val="auto"/>
          <w:sz w:val="24"/>
          <w:szCs w:val="24"/>
          <w:highlight w:val="none"/>
          <w:u w:val="none"/>
          <w:lang w:eastAsia="zh-CN"/>
        </w:rPr>
        <w:t>年</w:t>
      </w:r>
      <w:r>
        <w:rPr>
          <w:rFonts w:hint="eastAsia" w:ascii="宋体" w:hAnsi="宋体" w:eastAsia="宋体" w:cs="宋体"/>
          <w:i w:val="0"/>
          <w:iCs w:val="0"/>
          <w:color w:val="auto"/>
          <w:sz w:val="24"/>
          <w:szCs w:val="24"/>
          <w:highlight w:val="none"/>
          <w:u w:val="single"/>
          <w:lang w:val="en-US" w:eastAsia="zh-CN"/>
        </w:rPr>
        <w:t>12</w:t>
      </w:r>
      <w:r>
        <w:rPr>
          <w:rFonts w:hint="eastAsia" w:ascii="宋体" w:hAnsi="宋体" w:eastAsia="宋体" w:cs="宋体"/>
          <w:i w:val="0"/>
          <w:iCs w:val="0"/>
          <w:color w:val="auto"/>
          <w:sz w:val="24"/>
          <w:szCs w:val="24"/>
          <w:highlight w:val="none"/>
          <w:u w:val="none"/>
          <w:lang w:val="en-US" w:eastAsia="zh-CN"/>
        </w:rPr>
        <w:t>月</w:t>
      </w:r>
      <w:r>
        <w:rPr>
          <w:rFonts w:hint="eastAsia" w:ascii="宋体" w:hAnsi="宋体" w:eastAsia="宋体" w:cs="宋体"/>
          <w:i w:val="0"/>
          <w:iCs w:val="0"/>
          <w:color w:val="auto"/>
          <w:sz w:val="24"/>
          <w:szCs w:val="24"/>
          <w:highlight w:val="none"/>
          <w:u w:val="single"/>
          <w:lang w:val="en-US" w:eastAsia="zh-CN"/>
        </w:rPr>
        <w:t>22</w:t>
      </w:r>
      <w:r>
        <w:rPr>
          <w:rFonts w:hint="eastAsia" w:ascii="宋体" w:hAnsi="宋体" w:eastAsia="宋体" w:cs="宋体"/>
          <w:i w:val="0"/>
          <w:iCs w:val="0"/>
          <w:color w:val="auto"/>
          <w:sz w:val="24"/>
          <w:szCs w:val="24"/>
          <w:highlight w:val="none"/>
          <w:u w:val="none"/>
          <w:lang w:val="en-US" w:eastAsia="zh-CN"/>
        </w:rPr>
        <w:t>日</w:t>
      </w:r>
      <w:r>
        <w:rPr>
          <w:rFonts w:hint="eastAsia" w:ascii="宋体" w:hAnsi="宋体" w:eastAsia="宋体" w:cs="宋体"/>
          <w:i w:val="0"/>
          <w:iCs w:val="0"/>
          <w:color w:val="auto"/>
          <w:sz w:val="24"/>
          <w:szCs w:val="24"/>
          <w:highlight w:val="none"/>
          <w:u w:val="single"/>
          <w:lang w:val="en-US" w:eastAsia="zh-CN"/>
        </w:rPr>
        <w:t>9</w:t>
      </w:r>
      <w:r>
        <w:rPr>
          <w:rFonts w:hint="eastAsia" w:ascii="宋体" w:hAnsi="宋体" w:eastAsia="宋体" w:cs="宋体"/>
          <w:i w:val="0"/>
          <w:iCs w:val="0"/>
          <w:color w:val="auto"/>
          <w:sz w:val="24"/>
          <w:szCs w:val="24"/>
          <w:highlight w:val="none"/>
          <w:u w:val="none"/>
          <w:lang w:val="en-US" w:eastAsia="zh-CN"/>
        </w:rPr>
        <w:t>点</w:t>
      </w:r>
      <w:r>
        <w:rPr>
          <w:rFonts w:hint="eastAsia" w:ascii="宋体" w:hAnsi="宋体" w:eastAsia="宋体" w:cs="宋体"/>
          <w:i w:val="0"/>
          <w:iCs w:val="0"/>
          <w:color w:val="auto"/>
          <w:sz w:val="24"/>
          <w:szCs w:val="24"/>
          <w:highlight w:val="none"/>
          <w:u w:val="single"/>
          <w:lang w:val="en-US" w:eastAsia="zh-CN"/>
        </w:rPr>
        <w:t>00</w:t>
      </w:r>
      <w:r>
        <w:rPr>
          <w:rFonts w:hint="eastAsia" w:ascii="宋体" w:hAnsi="宋体" w:eastAsia="宋体" w:cs="宋体"/>
          <w:i w:val="0"/>
          <w:iCs w:val="0"/>
          <w:color w:val="auto"/>
          <w:sz w:val="24"/>
          <w:szCs w:val="24"/>
          <w:highlight w:val="none"/>
          <w:u w:val="none"/>
          <w:lang w:val="en-US" w:eastAsia="zh-CN"/>
        </w:rPr>
        <w:t>分</w:t>
      </w:r>
      <w:r>
        <w:rPr>
          <w:rFonts w:hint="eastAsia" w:ascii="宋体" w:hAnsi="宋体" w:eastAsia="宋体" w:cs="宋体"/>
          <w:i w:val="0"/>
          <w:iCs w:val="0"/>
          <w:color w:val="auto"/>
          <w:sz w:val="24"/>
          <w:szCs w:val="24"/>
          <w:highlight w:val="none"/>
          <w:u w:val="none"/>
        </w:rPr>
        <w:t>（北京时间）前递交投标文件。</w:t>
      </w:r>
    </w:p>
    <w:p w14:paraId="3BDA8323">
      <w:pPr>
        <w:pStyle w:val="31"/>
        <w:keepNext/>
        <w:keepLines/>
        <w:pageBreakBefore w:val="0"/>
        <w:widowControl w:val="0"/>
        <w:kinsoku/>
        <w:overflowPunct/>
        <w:topLinePunct w:val="0"/>
        <w:autoSpaceDE/>
        <w:autoSpaceDN/>
        <w:bidi w:val="0"/>
        <w:adjustRightInd/>
        <w:snapToGrid/>
        <w:spacing w:beforeAutospacing="0" w:afterAutospacing="0" w:line="440" w:lineRule="exact"/>
        <w:ind w:firstLine="482" w:firstLineChars="200"/>
        <w:jc w:val="both"/>
        <w:textAlignment w:val="auto"/>
        <w:rPr>
          <w:rFonts w:hint="eastAsia" w:ascii="宋体" w:hAnsi="宋体" w:eastAsia="宋体" w:cs="宋体"/>
          <w:color w:val="auto"/>
          <w:sz w:val="24"/>
          <w:szCs w:val="24"/>
          <w:highlight w:val="none"/>
        </w:rPr>
      </w:pPr>
      <w:bookmarkStart w:id="8" w:name="_Toc38985263"/>
      <w:bookmarkStart w:id="9" w:name="_Toc35393790"/>
      <w:bookmarkStart w:id="10" w:name="_Hlk24379207"/>
      <w:bookmarkStart w:id="11" w:name="_Toc35393621"/>
      <w:bookmarkStart w:id="12" w:name="_Toc28359079"/>
      <w:bookmarkStart w:id="13" w:name="_Toc28359002"/>
      <w:r>
        <w:rPr>
          <w:rFonts w:hint="eastAsia" w:ascii="宋体" w:hAnsi="宋体" w:eastAsia="宋体" w:cs="宋体"/>
          <w:b/>
          <w:color w:val="auto"/>
          <w:sz w:val="24"/>
          <w:szCs w:val="24"/>
          <w:highlight w:val="none"/>
        </w:rPr>
        <w:t>一、项目基本情况</w:t>
      </w:r>
      <w:bookmarkEnd w:id="8"/>
      <w:bookmarkEnd w:id="9"/>
      <w:bookmarkEnd w:id="10"/>
      <w:bookmarkEnd w:id="11"/>
      <w:bookmarkEnd w:id="12"/>
      <w:bookmarkEnd w:id="13"/>
    </w:p>
    <w:p w14:paraId="458515C2">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1.项目编号：</w:t>
      </w:r>
      <w:r>
        <w:rPr>
          <w:rFonts w:hint="eastAsia" w:ascii="宋体" w:hAnsi="宋体" w:eastAsia="宋体" w:cs="宋体"/>
          <w:color w:val="auto"/>
          <w:sz w:val="24"/>
          <w:szCs w:val="24"/>
          <w:highlight w:val="none"/>
          <w:lang w:eastAsia="zh-CN"/>
        </w:rPr>
        <w:t>JSZC-320904-JZCG-G2025-0039</w:t>
      </w:r>
    </w:p>
    <w:p w14:paraId="1B319045">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eastAsia="宋体" w:cs="宋体"/>
          <w:color w:val="auto"/>
          <w:sz w:val="24"/>
          <w:szCs w:val="24"/>
          <w:highlight w:val="none"/>
          <w:lang w:eastAsia="zh-CN"/>
        </w:rPr>
        <w:t>智慧公安-“亮剑一号”道路交通安全提升工程建设项目-亮剑一号工程</w:t>
      </w:r>
    </w:p>
    <w:p w14:paraId="1A63A97B">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采购方式：</w:t>
      </w:r>
      <w:r>
        <w:rPr>
          <w:rFonts w:hint="eastAsia" w:ascii="宋体" w:hAnsi="宋体" w:eastAsia="宋体" w:cs="宋体"/>
          <w:color w:val="auto"/>
          <w:sz w:val="24"/>
          <w:szCs w:val="24"/>
          <w:highlight w:val="none"/>
          <w:lang w:val="en-US" w:eastAsia="zh-CN"/>
        </w:rPr>
        <w:t>公开招标</w:t>
      </w:r>
    </w:p>
    <w:p w14:paraId="38D50B2A">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1359.44万</w:t>
      </w:r>
      <w:r>
        <w:rPr>
          <w:rFonts w:hint="eastAsia" w:ascii="宋体" w:hAnsi="宋体" w:eastAsia="宋体" w:cs="宋体"/>
          <w:color w:val="auto"/>
          <w:sz w:val="24"/>
          <w:szCs w:val="24"/>
          <w:highlight w:val="none"/>
          <w:lang w:eastAsia="zh-CN"/>
        </w:rPr>
        <w:t>元</w:t>
      </w:r>
    </w:p>
    <w:p w14:paraId="16BEF574">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最高限价：</w:t>
      </w:r>
      <w:r>
        <w:rPr>
          <w:rFonts w:hint="eastAsia" w:ascii="宋体" w:hAnsi="宋体" w:eastAsia="宋体" w:cs="宋体"/>
          <w:color w:val="auto"/>
          <w:sz w:val="24"/>
          <w:szCs w:val="24"/>
          <w:highlight w:val="none"/>
          <w:lang w:val="en-US" w:eastAsia="zh-CN"/>
        </w:rPr>
        <w:t>1359.44万</w:t>
      </w:r>
      <w:r>
        <w:rPr>
          <w:rFonts w:hint="eastAsia" w:ascii="宋体" w:hAnsi="宋体" w:eastAsia="宋体" w:cs="宋体"/>
          <w:color w:val="auto"/>
          <w:sz w:val="24"/>
          <w:szCs w:val="24"/>
          <w:highlight w:val="none"/>
          <w:lang w:eastAsia="zh-CN"/>
        </w:rPr>
        <w:t>元</w:t>
      </w:r>
    </w:p>
    <w:p w14:paraId="4012EE7F">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.采购需求：</w:t>
      </w:r>
      <w:r>
        <w:rPr>
          <w:rFonts w:hint="eastAsia" w:ascii="宋体" w:hAnsi="宋体" w:eastAsia="宋体" w:cs="宋体"/>
          <w:color w:val="auto"/>
          <w:sz w:val="24"/>
          <w:szCs w:val="24"/>
          <w:highlight w:val="none"/>
          <w:lang w:eastAsia="zh-CN"/>
        </w:rPr>
        <w:t>包含</w:t>
      </w:r>
      <w:r>
        <w:rPr>
          <w:rFonts w:hint="eastAsia" w:ascii="宋体" w:hAnsi="宋体" w:eastAsia="宋体" w:cs="宋体"/>
          <w:color w:val="auto"/>
          <w:sz w:val="24"/>
          <w:szCs w:val="24"/>
          <w:highlight w:val="none"/>
        </w:rPr>
        <w:t>对全区</w:t>
      </w:r>
      <w:r>
        <w:rPr>
          <w:rFonts w:hint="eastAsia" w:ascii="宋体" w:hAnsi="宋体" w:eastAsia="宋体" w:cs="宋体"/>
          <w:color w:val="auto"/>
          <w:sz w:val="24"/>
          <w:szCs w:val="24"/>
          <w:highlight w:val="none"/>
          <w:lang w:val="en-US" w:eastAsia="zh-CN"/>
        </w:rPr>
        <w:t>110</w:t>
      </w:r>
      <w:r>
        <w:rPr>
          <w:rFonts w:hint="eastAsia" w:ascii="宋体" w:hAnsi="宋体" w:eastAsia="宋体" w:cs="宋体"/>
          <w:color w:val="auto"/>
          <w:sz w:val="24"/>
          <w:szCs w:val="24"/>
          <w:highlight w:val="none"/>
        </w:rPr>
        <w:t>个灯控路口信号灯设施进行管网、线路维修等；30个路口非标信号灯更换；在</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个灯控路口新建电警卡口前端设备；扩容346路人脸人体算法授权；扩容1200路车辆全属性解析算法授权，还包括但不限于提供各项资料等伴随服务,具体详见本项目招标文件采购需求。</w:t>
      </w:r>
    </w:p>
    <w:p w14:paraId="715C8FEF">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.合同履行期限：合同签订后100日历天全部完成并经采购人验收合格。</w:t>
      </w:r>
    </w:p>
    <w:p w14:paraId="2CE675F7">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lang w:eastAsia="zh-CN"/>
        </w:rPr>
        <w:t>不</w:t>
      </w:r>
      <w:r>
        <w:rPr>
          <w:rFonts w:hint="eastAsia" w:ascii="宋体" w:hAnsi="宋体" w:eastAsia="宋体" w:cs="宋体"/>
          <w:color w:val="auto"/>
          <w:sz w:val="24"/>
          <w:szCs w:val="24"/>
          <w:highlight w:val="none"/>
        </w:rPr>
        <w:t>接受联合体参与</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w:t>
      </w:r>
    </w:p>
    <w:p w14:paraId="069B6D68">
      <w:pPr>
        <w:pStyle w:val="31"/>
        <w:keepNext/>
        <w:keepLines/>
        <w:pageBreakBefore w:val="0"/>
        <w:widowControl w:val="0"/>
        <w:kinsoku/>
        <w:overflowPunct/>
        <w:topLinePunct w:val="0"/>
        <w:autoSpaceDE/>
        <w:autoSpaceDN/>
        <w:bidi w:val="0"/>
        <w:adjustRightInd/>
        <w:snapToGrid/>
        <w:spacing w:beforeAutospacing="0" w:afterAutospacing="0" w:line="440" w:lineRule="exact"/>
        <w:ind w:firstLine="482" w:firstLineChars="200"/>
        <w:jc w:val="both"/>
        <w:textAlignment w:val="auto"/>
        <w:rPr>
          <w:rFonts w:hint="eastAsia" w:ascii="宋体" w:hAnsi="宋体" w:eastAsia="宋体" w:cs="宋体"/>
          <w:color w:val="auto"/>
          <w:sz w:val="24"/>
          <w:szCs w:val="24"/>
          <w:highlight w:val="none"/>
        </w:rPr>
      </w:pPr>
      <w:bookmarkStart w:id="14" w:name="_Toc35393791"/>
      <w:bookmarkStart w:id="15" w:name="_Toc35393622"/>
      <w:bookmarkStart w:id="16" w:name="_Toc28359080"/>
      <w:bookmarkStart w:id="17" w:name="_Toc38985264"/>
      <w:bookmarkStart w:id="18" w:name="_Toc28359003"/>
      <w:r>
        <w:rPr>
          <w:rFonts w:hint="eastAsia" w:ascii="宋体" w:hAnsi="宋体" w:eastAsia="宋体" w:cs="宋体"/>
          <w:b/>
          <w:color w:val="auto"/>
          <w:sz w:val="24"/>
          <w:szCs w:val="24"/>
          <w:highlight w:val="none"/>
        </w:rPr>
        <w:t>二、申请人的资格要求：</w:t>
      </w:r>
      <w:bookmarkEnd w:id="14"/>
      <w:bookmarkEnd w:id="15"/>
      <w:bookmarkEnd w:id="16"/>
      <w:bookmarkEnd w:id="17"/>
      <w:bookmarkEnd w:id="18"/>
    </w:p>
    <w:p w14:paraId="5FC9EF81">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043158E0">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法人或者其他组织的营业执照等证明文件，自然人的身份证明；</w:t>
      </w:r>
    </w:p>
    <w:p w14:paraId="48F44789">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1.2上一年度的财务状况报表（成立不满一年无需提供）；</w:t>
      </w:r>
    </w:p>
    <w:p w14:paraId="7D86A752">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具备履行合同所必需的设备和专业技术能力的书面声明；</w:t>
      </w:r>
    </w:p>
    <w:p w14:paraId="1E6E59CB">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4EACB890">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.5参加政府采购活动前3年内在经营活动中没有重大违法记录的书面声明。</w:t>
      </w:r>
    </w:p>
    <w:p w14:paraId="4FD13736">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1.6法律、行政法规规定的其他条件。</w:t>
      </w:r>
    </w:p>
    <w:p w14:paraId="34CC2D65">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2B556A2E">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单位负责人为同一人或者存在直接控股、管理关系的不同供应商，不得参加同一合同项下的政府采购活动。</w:t>
      </w:r>
    </w:p>
    <w:p w14:paraId="5788DBB3">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落实政府采购政策需满足的资格要求：无。</w:t>
      </w:r>
    </w:p>
    <w:p w14:paraId="2073D717">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本项目的特定资格要求</w:t>
      </w:r>
      <w:r>
        <w:rPr>
          <w:rFonts w:hint="eastAsia" w:ascii="宋体" w:hAnsi="宋体" w:eastAsia="宋体" w:cs="宋体"/>
          <w:color w:val="auto"/>
          <w:sz w:val="24"/>
          <w:szCs w:val="24"/>
          <w:highlight w:val="none"/>
          <w:lang w:eastAsia="zh-CN"/>
        </w:rPr>
        <w:t>：无。</w:t>
      </w:r>
    </w:p>
    <w:p w14:paraId="5A87A8B2">
      <w:pPr>
        <w:pStyle w:val="31"/>
        <w:keepNext/>
        <w:keepLines/>
        <w:pageBreakBefore w:val="0"/>
        <w:widowControl w:val="0"/>
        <w:kinsoku/>
        <w:overflowPunct/>
        <w:topLinePunct w:val="0"/>
        <w:autoSpaceDE/>
        <w:autoSpaceDN/>
        <w:bidi w:val="0"/>
        <w:adjustRightInd/>
        <w:snapToGrid/>
        <w:spacing w:beforeAutospacing="0" w:afterAutospacing="0" w:line="440" w:lineRule="exact"/>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三、获取招标文件</w:t>
      </w:r>
    </w:p>
    <w:p w14:paraId="0C54655D">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lang w:val="en-US" w:eastAsia="zh-CN"/>
        </w:rPr>
      </w:pPr>
      <w:bookmarkStart w:id="19" w:name="_Toc28359005"/>
      <w:bookmarkStart w:id="20" w:name="_Toc35393624"/>
      <w:bookmarkStart w:id="21" w:name="_Toc28359082"/>
      <w:bookmarkStart w:id="22" w:name="_Toc35393793"/>
      <w:bookmarkStart w:id="23" w:name="_Toc38985266"/>
      <w:r>
        <w:rPr>
          <w:rFonts w:hint="eastAsia" w:ascii="宋体" w:hAnsi="宋体" w:eastAsia="宋体" w:cs="宋体"/>
          <w:color w:val="auto"/>
          <w:sz w:val="24"/>
          <w:szCs w:val="24"/>
          <w:highlight w:val="none"/>
        </w:rPr>
        <w:t>1.时间：</w:t>
      </w:r>
      <w:bookmarkEnd w:id="19"/>
      <w:bookmarkEnd w:id="20"/>
      <w:bookmarkEnd w:id="21"/>
      <w:bookmarkEnd w:id="22"/>
      <w:bookmarkEnd w:id="23"/>
      <w:r>
        <w:rPr>
          <w:rFonts w:hint="eastAsia" w:ascii="宋体" w:hAnsi="宋体" w:eastAsia="宋体" w:cs="宋体"/>
          <w:i w:val="0"/>
          <w:iCs w:val="0"/>
          <w:color w:val="auto"/>
          <w:kern w:val="0"/>
          <w:sz w:val="24"/>
          <w:szCs w:val="24"/>
          <w:highlight w:val="none"/>
        </w:rPr>
        <w:t>自招标文件公告发布之日起5个工作日</w:t>
      </w:r>
    </w:p>
    <w:p w14:paraId="43D3B2FB">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2.地点：</w:t>
      </w:r>
      <w:r>
        <w:rPr>
          <w:rFonts w:hint="eastAsia" w:ascii="宋体" w:hAnsi="宋体" w:eastAsia="宋体" w:cs="宋体"/>
          <w:i w:val="0"/>
          <w:iCs w:val="0"/>
          <w:color w:val="auto"/>
          <w:kern w:val="0"/>
          <w:sz w:val="24"/>
          <w:szCs w:val="24"/>
          <w:highlight w:val="none"/>
        </w:rPr>
        <w:t>“苏采云”系统内免费下载（投标人必须在苏采云系统中获取采购文件，方能参与政府采购项目）</w:t>
      </w:r>
    </w:p>
    <w:p w14:paraId="2F385ED8">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.方式：</w:t>
      </w:r>
      <w:r>
        <w:rPr>
          <w:rFonts w:hint="eastAsia" w:ascii="宋体" w:hAnsi="宋体" w:eastAsia="宋体" w:cs="宋体"/>
          <w:i w:val="0"/>
          <w:iCs w:val="0"/>
          <w:color w:val="auto"/>
          <w:kern w:val="0"/>
          <w:sz w:val="24"/>
          <w:szCs w:val="24"/>
          <w:highlight w:val="none"/>
        </w:rPr>
        <w:t>网上注册登记成功后苏采云系统内免费下载</w:t>
      </w:r>
    </w:p>
    <w:p w14:paraId="601B0EEC">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4.售价：0元</w:t>
      </w:r>
    </w:p>
    <w:p w14:paraId="1B9B1517">
      <w:pPr>
        <w:pStyle w:val="31"/>
        <w:keepNext/>
        <w:keepLines/>
        <w:pageBreakBefore w:val="0"/>
        <w:widowControl w:val="0"/>
        <w:kinsoku/>
        <w:overflowPunct/>
        <w:topLinePunct w:val="0"/>
        <w:autoSpaceDE/>
        <w:autoSpaceDN/>
        <w:bidi w:val="0"/>
        <w:adjustRightInd/>
        <w:snapToGrid/>
        <w:spacing w:beforeAutospacing="0" w:afterAutospacing="0" w:line="440" w:lineRule="exact"/>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2D61B6B7">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w:t>
      </w:r>
      <w:r>
        <w:rPr>
          <w:rFonts w:hint="eastAsia" w:ascii="宋体" w:hAnsi="宋体" w:eastAsia="宋体" w:cs="宋体"/>
          <w:i w:val="0"/>
          <w:iCs w:val="0"/>
          <w:color w:val="auto"/>
          <w:sz w:val="24"/>
          <w:szCs w:val="24"/>
          <w:highlight w:val="none"/>
          <w:u w:val="single"/>
          <w:lang w:eastAsia="zh-CN"/>
        </w:rPr>
        <w:t>2025</w:t>
      </w:r>
      <w:r>
        <w:rPr>
          <w:rFonts w:hint="eastAsia" w:ascii="宋体" w:hAnsi="宋体" w:eastAsia="宋体" w:cs="宋体"/>
          <w:i w:val="0"/>
          <w:iCs w:val="0"/>
          <w:color w:val="auto"/>
          <w:sz w:val="24"/>
          <w:szCs w:val="24"/>
          <w:highlight w:val="none"/>
          <w:u w:val="none"/>
          <w:lang w:eastAsia="zh-CN"/>
        </w:rPr>
        <w:t>年</w:t>
      </w:r>
      <w:r>
        <w:rPr>
          <w:rFonts w:hint="eastAsia" w:ascii="宋体" w:hAnsi="宋体" w:eastAsia="宋体" w:cs="宋体"/>
          <w:i w:val="0"/>
          <w:iCs w:val="0"/>
          <w:color w:val="auto"/>
          <w:sz w:val="24"/>
          <w:szCs w:val="24"/>
          <w:highlight w:val="none"/>
          <w:u w:val="single"/>
          <w:lang w:val="en-US" w:eastAsia="zh-CN"/>
        </w:rPr>
        <w:t>12</w:t>
      </w:r>
      <w:r>
        <w:rPr>
          <w:rFonts w:hint="eastAsia" w:ascii="宋体" w:hAnsi="宋体" w:eastAsia="宋体" w:cs="宋体"/>
          <w:i w:val="0"/>
          <w:iCs w:val="0"/>
          <w:color w:val="auto"/>
          <w:sz w:val="24"/>
          <w:szCs w:val="24"/>
          <w:highlight w:val="none"/>
          <w:u w:val="none"/>
          <w:lang w:val="en-US" w:eastAsia="zh-CN"/>
        </w:rPr>
        <w:t>月</w:t>
      </w:r>
      <w:r>
        <w:rPr>
          <w:rFonts w:hint="eastAsia" w:ascii="宋体" w:hAnsi="宋体" w:eastAsia="宋体" w:cs="宋体"/>
          <w:i w:val="0"/>
          <w:iCs w:val="0"/>
          <w:color w:val="auto"/>
          <w:sz w:val="24"/>
          <w:szCs w:val="24"/>
          <w:highlight w:val="none"/>
          <w:u w:val="single"/>
          <w:lang w:val="en-US" w:eastAsia="zh-CN"/>
        </w:rPr>
        <w:t>22</w:t>
      </w:r>
      <w:r>
        <w:rPr>
          <w:rFonts w:hint="eastAsia" w:ascii="宋体" w:hAnsi="宋体" w:eastAsia="宋体" w:cs="宋体"/>
          <w:i w:val="0"/>
          <w:iCs w:val="0"/>
          <w:color w:val="auto"/>
          <w:sz w:val="24"/>
          <w:szCs w:val="24"/>
          <w:highlight w:val="none"/>
          <w:u w:val="none"/>
          <w:lang w:val="en-US" w:eastAsia="zh-CN"/>
        </w:rPr>
        <w:t>日</w:t>
      </w:r>
      <w:r>
        <w:rPr>
          <w:rFonts w:hint="eastAsia" w:ascii="宋体" w:hAnsi="宋体" w:eastAsia="宋体" w:cs="宋体"/>
          <w:i w:val="0"/>
          <w:iCs w:val="0"/>
          <w:color w:val="auto"/>
          <w:sz w:val="24"/>
          <w:szCs w:val="24"/>
          <w:highlight w:val="none"/>
          <w:u w:val="single"/>
          <w:lang w:val="en-US" w:eastAsia="zh-CN"/>
        </w:rPr>
        <w:t>9</w:t>
      </w:r>
      <w:r>
        <w:rPr>
          <w:rFonts w:hint="eastAsia" w:ascii="宋体" w:hAnsi="宋体" w:eastAsia="宋体" w:cs="宋体"/>
          <w:i w:val="0"/>
          <w:iCs w:val="0"/>
          <w:color w:val="auto"/>
          <w:sz w:val="24"/>
          <w:szCs w:val="24"/>
          <w:highlight w:val="none"/>
          <w:u w:val="none"/>
          <w:lang w:val="en-US" w:eastAsia="zh-CN"/>
        </w:rPr>
        <w:t>点</w:t>
      </w:r>
      <w:r>
        <w:rPr>
          <w:rFonts w:hint="eastAsia" w:ascii="宋体" w:hAnsi="宋体" w:eastAsia="宋体" w:cs="宋体"/>
          <w:i w:val="0"/>
          <w:iCs w:val="0"/>
          <w:color w:val="auto"/>
          <w:sz w:val="24"/>
          <w:szCs w:val="24"/>
          <w:highlight w:val="none"/>
          <w:u w:val="single"/>
          <w:lang w:val="en-US" w:eastAsia="zh-CN"/>
        </w:rPr>
        <w:t>00</w:t>
      </w:r>
      <w:r>
        <w:rPr>
          <w:rFonts w:hint="eastAsia" w:ascii="宋体" w:hAnsi="宋体" w:eastAsia="宋体" w:cs="宋体"/>
          <w:i w:val="0"/>
          <w:iCs w:val="0"/>
          <w:color w:val="auto"/>
          <w:sz w:val="24"/>
          <w:szCs w:val="24"/>
          <w:highlight w:val="none"/>
          <w:u w:val="none"/>
          <w:lang w:val="en-US" w:eastAsia="zh-CN"/>
        </w:rPr>
        <w:t>分</w:t>
      </w:r>
      <w:r>
        <w:rPr>
          <w:rFonts w:hint="eastAsia" w:ascii="宋体" w:hAnsi="宋体" w:eastAsia="宋体" w:cs="宋体"/>
          <w:i w:val="0"/>
          <w:iCs w:val="0"/>
          <w:color w:val="auto"/>
          <w:kern w:val="0"/>
          <w:sz w:val="24"/>
          <w:szCs w:val="24"/>
          <w:highlight w:val="none"/>
        </w:rPr>
        <w:t>（北京时间）</w:t>
      </w:r>
    </w:p>
    <w:p w14:paraId="5EBC48EB">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2.地点：“苏采云”政府采购交易系统网上开标大厅。</w:t>
      </w:r>
    </w:p>
    <w:p w14:paraId="5AF57AFC">
      <w:pPr>
        <w:pStyle w:val="31"/>
        <w:keepNext/>
        <w:keepLines/>
        <w:pageBreakBefore w:val="0"/>
        <w:widowControl w:val="0"/>
        <w:kinsoku/>
        <w:overflowPunct/>
        <w:topLinePunct w:val="0"/>
        <w:autoSpaceDE/>
        <w:autoSpaceDN/>
        <w:bidi w:val="0"/>
        <w:adjustRightInd/>
        <w:snapToGrid/>
        <w:spacing w:beforeAutospacing="0" w:afterAutospacing="0" w:line="440" w:lineRule="exact"/>
        <w:ind w:firstLine="482" w:firstLineChars="200"/>
        <w:jc w:val="both"/>
        <w:textAlignment w:val="auto"/>
        <w:rPr>
          <w:rFonts w:hint="eastAsia" w:ascii="宋体" w:hAnsi="宋体" w:eastAsia="宋体" w:cs="宋体"/>
          <w:color w:val="auto"/>
          <w:sz w:val="24"/>
          <w:szCs w:val="24"/>
          <w:highlight w:val="none"/>
        </w:rPr>
      </w:pPr>
      <w:bookmarkStart w:id="24" w:name="_Toc28359007"/>
      <w:bookmarkStart w:id="25" w:name="_Toc28359084"/>
      <w:bookmarkStart w:id="26" w:name="_Toc35393794"/>
      <w:bookmarkStart w:id="27" w:name="_Toc35393625"/>
      <w:bookmarkStart w:id="28" w:name="_Toc38985267"/>
      <w:r>
        <w:rPr>
          <w:rFonts w:hint="eastAsia" w:ascii="宋体" w:hAnsi="宋体" w:eastAsia="宋体" w:cs="宋体"/>
          <w:b/>
          <w:color w:val="auto"/>
          <w:sz w:val="24"/>
          <w:szCs w:val="24"/>
          <w:highlight w:val="none"/>
        </w:rPr>
        <w:t>五、公告期限</w:t>
      </w:r>
      <w:bookmarkEnd w:id="24"/>
      <w:bookmarkEnd w:id="25"/>
      <w:bookmarkEnd w:id="26"/>
      <w:bookmarkEnd w:id="27"/>
      <w:bookmarkEnd w:id="28"/>
    </w:p>
    <w:p w14:paraId="0248F05B">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lang w:val="en-US" w:eastAsia="zh-CN"/>
        </w:rPr>
      </w:pPr>
      <w:bookmarkStart w:id="29" w:name="_Toc38985268"/>
      <w:bookmarkStart w:id="30" w:name="_Toc35393626"/>
      <w:bookmarkStart w:id="31" w:name="_Toc35393795"/>
      <w:r>
        <w:rPr>
          <w:rFonts w:hint="eastAsia" w:ascii="宋体" w:hAnsi="宋体" w:eastAsia="宋体" w:cs="宋体"/>
          <w:color w:val="auto"/>
          <w:sz w:val="24"/>
          <w:szCs w:val="24"/>
          <w:highlight w:val="none"/>
          <w:lang w:val="en-US" w:eastAsia="zh-CN"/>
        </w:rPr>
        <w:t>自本公告发布之日起5个工作日。</w:t>
      </w:r>
      <w:bookmarkEnd w:id="29"/>
      <w:bookmarkEnd w:id="30"/>
      <w:bookmarkEnd w:id="31"/>
    </w:p>
    <w:p w14:paraId="7944AF26">
      <w:pPr>
        <w:pStyle w:val="31"/>
        <w:keepNext/>
        <w:keepLines/>
        <w:pageBreakBefore w:val="0"/>
        <w:widowControl w:val="0"/>
        <w:kinsoku/>
        <w:overflowPunct/>
        <w:topLinePunct w:val="0"/>
        <w:autoSpaceDE/>
        <w:autoSpaceDN/>
        <w:bidi w:val="0"/>
        <w:adjustRightInd/>
        <w:snapToGrid/>
        <w:spacing w:beforeAutospacing="0" w:afterAutospacing="0" w:line="440" w:lineRule="exact"/>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六、其他补充事宜</w:t>
      </w:r>
    </w:p>
    <w:p w14:paraId="509F4385">
      <w:pPr>
        <w:keepNext w:val="0"/>
        <w:keepLines w:val="0"/>
        <w:pageBreakBefore w:val="0"/>
        <w:widowControl w:val="0"/>
        <w:tabs>
          <w:tab w:val="left" w:pos="900"/>
        </w:tabs>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olor w:val="auto"/>
          <w:kern w:val="0"/>
          <w:sz w:val="24"/>
          <w:szCs w:val="24"/>
          <w:highlight w:val="none"/>
        </w:rPr>
      </w:pPr>
      <w:bookmarkStart w:id="32" w:name="_Toc28359018"/>
      <w:r>
        <w:rPr>
          <w:rFonts w:hint="eastAsia" w:ascii="宋体" w:hAnsi="宋体" w:eastAsia="宋体" w:cs="宋体"/>
          <w:i w:val="0"/>
          <w:iCs w:val="0"/>
          <w:color w:val="auto"/>
          <w:kern w:val="0"/>
          <w:sz w:val="24"/>
          <w:szCs w:val="24"/>
          <w:highlight w:val="none"/>
        </w:rPr>
        <w:t>1.有关本次招标的事项若存在变动或修改，敬请及时关注采购人在“中国政府采购网”、“江苏政府采购网”、“盐城市政府采购网”发布的更正公告。</w:t>
      </w:r>
    </w:p>
    <w:p w14:paraId="507D4C6C">
      <w:pPr>
        <w:keepNext w:val="0"/>
        <w:keepLines w:val="0"/>
        <w:pageBreakBefore w:val="0"/>
        <w:widowControl w:val="0"/>
        <w:tabs>
          <w:tab w:val="left" w:pos="900"/>
        </w:tabs>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2.本次招标不收取投标保证金，不收取质量保证金。</w:t>
      </w:r>
    </w:p>
    <w:p w14:paraId="3CA9A067">
      <w:pPr>
        <w:keepNext w:val="0"/>
        <w:keepLines w:val="0"/>
        <w:pageBreakBefore w:val="0"/>
        <w:widowControl w:val="0"/>
        <w:tabs>
          <w:tab w:val="left" w:pos="900"/>
        </w:tabs>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3.评审结束后，中标人需提供纸质投标文件一正四副用于归档，未中标单位不需要提供。</w:t>
      </w:r>
    </w:p>
    <w:p w14:paraId="61834F67">
      <w:pPr>
        <w:keepNext w:val="0"/>
        <w:keepLines w:val="0"/>
        <w:pageBreakBefore w:val="0"/>
        <w:widowControl w:val="0"/>
        <w:tabs>
          <w:tab w:val="left" w:pos="900"/>
        </w:tabs>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val="en-US" w:eastAsia="zh-CN"/>
        </w:rPr>
        <w:t>4.</w:t>
      </w:r>
      <w:r>
        <w:rPr>
          <w:rFonts w:hint="eastAsia" w:ascii="宋体" w:hAnsi="宋体" w:eastAsia="宋体" w:cs="宋体"/>
          <w:i w:val="0"/>
          <w:iCs w:val="0"/>
          <w:color w:val="auto"/>
          <w:kern w:val="0"/>
          <w:sz w:val="24"/>
          <w:szCs w:val="24"/>
          <w:highlight w:val="none"/>
        </w:rPr>
        <w:t>潜在供应商访问电子招标响应交易平台的网络地址和方法：“苏采云”系统用户注册--获取“CA数字证书”--CA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p>
    <w:p w14:paraId="66E240AA">
      <w:pPr>
        <w:keepNext w:val="0"/>
        <w:keepLines w:val="0"/>
        <w:pageBreakBefore w:val="0"/>
        <w:widowControl w:val="0"/>
        <w:tabs>
          <w:tab w:val="left" w:pos="900"/>
        </w:tabs>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val="en-US" w:eastAsia="zh-CN"/>
        </w:rPr>
        <w:t>5.</w:t>
      </w:r>
      <w:r>
        <w:rPr>
          <w:rFonts w:hint="eastAsia" w:ascii="宋体" w:hAnsi="宋体" w:eastAsia="宋体" w:cs="宋体"/>
          <w:i w:val="0"/>
          <w:iCs w:val="0"/>
          <w:color w:val="auto"/>
          <w:kern w:val="0"/>
          <w:sz w:val="24"/>
          <w:szCs w:val="24"/>
          <w:highlight w:val="none"/>
        </w:rPr>
        <w:t>潜在投标人访问“苏采云”系统方法：江苏省政府采购网首页-“苏采云”链接。</w:t>
      </w:r>
    </w:p>
    <w:p w14:paraId="4CBA5E6E">
      <w:pPr>
        <w:keepNext w:val="0"/>
        <w:keepLines w:val="0"/>
        <w:pageBreakBefore w:val="0"/>
        <w:widowControl w:val="0"/>
        <w:tabs>
          <w:tab w:val="left" w:pos="900"/>
        </w:tabs>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val="en-US" w:eastAsia="zh-CN"/>
        </w:rPr>
        <w:t>6.</w:t>
      </w:r>
      <w:r>
        <w:rPr>
          <w:rFonts w:hint="eastAsia" w:ascii="宋体" w:hAnsi="宋体" w:eastAsia="宋体" w:cs="宋体"/>
          <w:i w:val="0"/>
          <w:iCs w:val="0"/>
          <w:color w:val="auto"/>
          <w:kern w:val="0"/>
          <w:sz w:val="24"/>
          <w:szCs w:val="24"/>
          <w:highlight w:val="none"/>
        </w:rPr>
        <w:t>“CA 数字证书”的获取：供应商需办理CA锁，“苏采云”系统目前仅支持政务CA，省内各地区办理的用于“苏采云”平台的政务CA全省通用。盐城地区政务CA办理请至亭湖区政务服务中心二楼226窗口办理，联系电话：15051556883。</w:t>
      </w:r>
    </w:p>
    <w:p w14:paraId="51D9CB04">
      <w:pPr>
        <w:keepNext w:val="0"/>
        <w:keepLines w:val="0"/>
        <w:pageBreakBefore w:val="0"/>
        <w:widowControl w:val="0"/>
        <w:tabs>
          <w:tab w:val="left" w:pos="900"/>
        </w:tabs>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val="en-US" w:eastAsia="zh-CN"/>
        </w:rPr>
        <w:t>7.</w:t>
      </w:r>
      <w:r>
        <w:rPr>
          <w:rFonts w:hint="eastAsia" w:ascii="宋体" w:hAnsi="宋体" w:eastAsia="宋体" w:cs="宋体"/>
          <w:i w:val="0"/>
          <w:iCs w:val="0"/>
          <w:color w:val="auto"/>
          <w:kern w:val="0"/>
          <w:sz w:val="24"/>
          <w:szCs w:val="24"/>
          <w:highlight w:val="none"/>
        </w:rPr>
        <w:t>采购文件（后缀名为“.kedt”）、供应商操作手册及政府采购客户端工具可通过“苏采云”系统相应链接进行下载。</w:t>
      </w:r>
    </w:p>
    <w:bookmarkEnd w:id="32"/>
    <w:p w14:paraId="1F6F2F09">
      <w:pPr>
        <w:keepNext/>
        <w:keepLines/>
        <w:pageBreakBefore w:val="0"/>
        <w:widowControl w:val="0"/>
        <w:kinsoku/>
        <w:overflowPunct/>
        <w:topLinePunct w:val="0"/>
        <w:autoSpaceDE/>
        <w:autoSpaceDN/>
        <w:bidi w:val="0"/>
        <w:adjustRightInd/>
        <w:snapToGrid/>
        <w:spacing w:beforeAutospacing="0" w:afterAutospacing="0" w:line="440" w:lineRule="exact"/>
        <w:ind w:firstLine="482" w:firstLineChars="200"/>
        <w:jc w:val="both"/>
        <w:textAlignment w:val="auto"/>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七、对本次招标提出询问，请按以下方式联系。</w:t>
      </w:r>
    </w:p>
    <w:p w14:paraId="167276BE">
      <w:pPr>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1.采购人信息</w:t>
      </w:r>
    </w:p>
    <w:p w14:paraId="67020156">
      <w:pPr>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名    称：盐城市公安局大丰分局</w:t>
      </w:r>
    </w:p>
    <w:p w14:paraId="07D7C478">
      <w:pPr>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地    址：盐城市大丰市区健康西路21号</w:t>
      </w:r>
    </w:p>
    <w:p w14:paraId="2D62BB05">
      <w:pPr>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联 系 人：沈鸣熙              </w:t>
      </w:r>
    </w:p>
    <w:p w14:paraId="3758F917">
      <w:pPr>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联系电话：18862030899</w:t>
      </w:r>
    </w:p>
    <w:p w14:paraId="7F7B1E8E">
      <w:pPr>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2.采购代理机构</w:t>
      </w:r>
    </w:p>
    <w:p w14:paraId="66A4C5ED">
      <w:pPr>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单位名称：盐城市大丰区公共资源交易中心</w:t>
      </w:r>
    </w:p>
    <w:p w14:paraId="5D3D7B27">
      <w:pPr>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单位地址：盐城市大丰区飞达东路100号（丰华国际大厦5楼）</w:t>
      </w:r>
    </w:p>
    <w:p w14:paraId="25CE4B38">
      <w:pPr>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联 系 人：蒋华林</w:t>
      </w:r>
    </w:p>
    <w:p w14:paraId="16556782">
      <w:pPr>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联系电话：15189285981、83927229　</w:t>
      </w:r>
    </w:p>
    <w:p w14:paraId="743CB8FB">
      <w:pPr>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3.项目联系方式</w:t>
      </w:r>
    </w:p>
    <w:p w14:paraId="22AB2396">
      <w:pPr>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项目联系人：蒋华林</w:t>
      </w:r>
    </w:p>
    <w:p w14:paraId="3FAD9AD9">
      <w:pPr>
        <w:pStyle w:val="31"/>
        <w:keepNext w:val="0"/>
        <w:keepLines w:val="0"/>
        <w:pageBreakBefore w:val="0"/>
        <w:widowControl w:val="0"/>
        <w:kinsoku/>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电话：15189285981、83927229</w:t>
      </w:r>
    </w:p>
    <w:p w14:paraId="03C8C658">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w:t>
      </w:r>
    </w:p>
    <w:p w14:paraId="7905971E">
      <w:pPr>
        <w:pStyle w:val="31"/>
        <w:spacing w:beforeAutospacing="0" w:afterAutospacing="0"/>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w:t>
      </w:r>
    </w:p>
    <w:p w14:paraId="539BAFB5">
      <w:pPr>
        <w:rPr>
          <w:rFonts w:hint="eastAsia" w:ascii="宋体" w:hAnsi="宋体" w:eastAsia="宋体" w:cs="宋体"/>
          <w:b/>
          <w:color w:val="auto"/>
          <w:sz w:val="44"/>
          <w:szCs w:val="44"/>
          <w:highlight w:val="none"/>
        </w:rPr>
      </w:pPr>
      <w:r>
        <w:rPr>
          <w:rFonts w:hint="eastAsia" w:ascii="宋体" w:hAnsi="宋体" w:eastAsia="宋体" w:cs="宋体"/>
          <w:color w:val="auto"/>
          <w:highlight w:val="none"/>
        </w:rPr>
        <w:br w:type="page" w:clear="all"/>
      </w:r>
      <w:bookmarkStart w:id="33" w:name="_Toc120614211"/>
    </w:p>
    <w:p w14:paraId="7250235D">
      <w:pPr>
        <w:pStyle w:val="31"/>
        <w:keepNext w:val="0"/>
        <w:keepLines w:val="0"/>
        <w:pageBreakBefore w:val="0"/>
        <w:widowControl w:val="0"/>
        <w:kinsoku/>
        <w:wordWrap/>
        <w:overflowPunct/>
        <w:topLinePunct w:val="0"/>
        <w:autoSpaceDE/>
        <w:autoSpaceDN/>
        <w:bidi w:val="0"/>
        <w:adjustRightInd/>
        <w:snapToGrid/>
        <w:spacing w:beforeAutospacing="0" w:afterAutospacing="0"/>
        <w:jc w:val="center"/>
        <w:textAlignment w:val="auto"/>
        <w:rPr>
          <w:rFonts w:hint="eastAsia" w:ascii="宋体" w:hAnsi="宋体" w:eastAsia="宋体" w:cs="宋体"/>
          <w:color w:val="auto"/>
          <w:highlight w:val="none"/>
        </w:rPr>
      </w:pPr>
      <w:bookmarkStart w:id="34" w:name="_Toc11525"/>
      <w:r>
        <w:rPr>
          <w:rFonts w:hint="eastAsia" w:ascii="宋体" w:hAnsi="宋体" w:eastAsia="宋体" w:cs="宋体"/>
          <w:b/>
          <w:bCs/>
          <w:color w:val="auto"/>
          <w:sz w:val="44"/>
          <w:szCs w:val="44"/>
          <w:highlight w:val="none"/>
        </w:rPr>
        <w:t>第二章</w:t>
      </w:r>
      <w:bookmarkEnd w:id="33"/>
      <w:bookmarkStart w:id="35" w:name="_Toc20823274"/>
      <w:bookmarkStart w:id="36" w:name="_Toc120614213"/>
      <w:bookmarkStart w:id="37" w:name="_Toc513029202"/>
      <w:bookmarkStart w:id="38" w:name="_Toc16938518"/>
      <w:r>
        <w:rPr>
          <w:rFonts w:hint="eastAsia" w:ascii="宋体" w:hAnsi="宋体" w:eastAsia="宋体" w:cs="宋体"/>
          <w:b/>
          <w:bCs/>
          <w:color w:val="auto"/>
          <w:sz w:val="44"/>
          <w:szCs w:val="44"/>
          <w:highlight w:val="none"/>
        </w:rPr>
        <w:t> 投标人须知</w:t>
      </w:r>
      <w:bookmarkEnd w:id="34"/>
      <w:bookmarkEnd w:id="35"/>
      <w:bookmarkEnd w:id="36"/>
      <w:bookmarkEnd w:id="37"/>
      <w:bookmarkEnd w:id="38"/>
    </w:p>
    <w:p w14:paraId="3AD89EA4">
      <w:pPr>
        <w:pStyle w:val="193"/>
        <w:pageBreakBefore w:val="0"/>
        <w:widowControl w:val="0"/>
        <w:kinsoku/>
        <w:wordWrap/>
        <w:overflowPunct/>
        <w:topLinePunct w:val="0"/>
        <w:autoSpaceDE/>
        <w:autoSpaceDN/>
        <w:bidi w:val="0"/>
        <w:adjustRightInd/>
        <w:snapToGrid/>
        <w:spacing w:before="0" w:after="0" w:line="440" w:lineRule="exact"/>
        <w:ind w:left="0" w:firstLine="482" w:firstLineChars="200"/>
        <w:jc w:val="left"/>
        <w:textAlignment w:val="auto"/>
        <w:rPr>
          <w:rFonts w:hint="eastAsia" w:ascii="宋体" w:hAnsi="宋体" w:eastAsia="宋体" w:cs="宋体"/>
          <w:color w:val="auto"/>
          <w:sz w:val="24"/>
          <w:szCs w:val="24"/>
          <w:highlight w:val="none"/>
        </w:rPr>
      </w:pPr>
      <w:bookmarkStart w:id="39" w:name="_Toc16938519"/>
      <w:bookmarkStart w:id="40" w:name="_Toc20823275"/>
      <w:bookmarkStart w:id="41" w:name="_Toc120614214"/>
      <w:bookmarkStart w:id="42" w:name="_Toc513029203"/>
      <w:bookmarkStart w:id="43" w:name="_Hlt26954852"/>
      <w:bookmarkStart w:id="44" w:name="_Hlt26668975"/>
      <w:bookmarkStart w:id="45" w:name="_Hlt26954848"/>
      <w:bookmarkStart w:id="46" w:name="_Hlt26670482"/>
      <w:bookmarkStart w:id="47" w:name="_Toc513029226"/>
      <w:bookmarkStart w:id="48" w:name="_Hlt26954739"/>
      <w:bookmarkStart w:id="49" w:name="_Hlt26954846"/>
      <w:bookmarkStart w:id="50" w:name="_Hlt16619475"/>
      <w:bookmarkStart w:id="51" w:name="_Hlt26670486"/>
      <w:bookmarkStart w:id="52" w:name="_Hlt26670360"/>
      <w:bookmarkStart w:id="53" w:name="_Hlt26954731"/>
      <w:bookmarkStart w:id="54" w:name="_Hlt26954838"/>
      <w:r>
        <w:rPr>
          <w:rFonts w:hint="eastAsia" w:ascii="宋体" w:hAnsi="宋体" w:eastAsia="宋体" w:cs="宋体"/>
          <w:color w:val="auto"/>
          <w:sz w:val="24"/>
          <w:szCs w:val="24"/>
          <w:highlight w:val="none"/>
        </w:rPr>
        <w:t>一、总则</w:t>
      </w:r>
      <w:bookmarkEnd w:id="39"/>
      <w:bookmarkEnd w:id="40"/>
      <w:bookmarkEnd w:id="41"/>
      <w:bookmarkEnd w:id="42"/>
    </w:p>
    <w:p w14:paraId="6D952DFA">
      <w:pPr>
        <w:pStyle w:val="195"/>
        <w:pageBreakBefore w:val="0"/>
        <w:widowControl w:val="0"/>
        <w:kinsoku/>
        <w:wordWrap/>
        <w:overflowPunct/>
        <w:topLinePunct w:val="0"/>
        <w:autoSpaceDE/>
        <w:autoSpaceDN/>
        <w:bidi w:val="0"/>
        <w:adjustRightInd/>
        <w:snapToGrid/>
        <w:spacing w:before="0" w:after="0" w:line="440" w:lineRule="exact"/>
        <w:ind w:left="0" w:firstLine="480" w:firstLineChars="200"/>
        <w:jc w:val="left"/>
        <w:textAlignment w:val="auto"/>
        <w:rPr>
          <w:rFonts w:hint="eastAsia" w:ascii="宋体" w:hAnsi="宋体" w:eastAsia="宋体" w:cs="宋体"/>
          <w:b w:val="0"/>
          <w:bCs w:val="0"/>
          <w:color w:val="auto"/>
          <w:sz w:val="24"/>
          <w:szCs w:val="24"/>
          <w:highlight w:val="none"/>
        </w:rPr>
      </w:pPr>
      <w:bookmarkStart w:id="55" w:name="_Toc458694821"/>
      <w:bookmarkStart w:id="56" w:name="_Toc20823276"/>
      <w:bookmarkStart w:id="57" w:name="_Toc513029204"/>
      <w:bookmarkStart w:id="58" w:name="_Toc16938520"/>
      <w:r>
        <w:rPr>
          <w:rFonts w:hint="eastAsia" w:ascii="宋体" w:hAnsi="宋体" w:eastAsia="宋体" w:cs="宋体"/>
          <w:b w:val="0"/>
          <w:bCs w:val="0"/>
          <w:color w:val="auto"/>
          <w:sz w:val="24"/>
          <w:szCs w:val="24"/>
          <w:highlight w:val="none"/>
        </w:rPr>
        <w:t>1</w:t>
      </w:r>
      <w:bookmarkEnd w:id="55"/>
      <w:r>
        <w:rPr>
          <w:rFonts w:hint="eastAsia" w:ascii="宋体" w:hAnsi="宋体" w:eastAsia="宋体" w:cs="宋体"/>
          <w:b w:val="0"/>
          <w:bCs w:val="0"/>
          <w:color w:val="auto"/>
          <w:sz w:val="24"/>
          <w:szCs w:val="24"/>
          <w:highlight w:val="none"/>
        </w:rPr>
        <w:t>、招标方式</w:t>
      </w:r>
      <w:bookmarkEnd w:id="56"/>
      <w:bookmarkEnd w:id="57"/>
      <w:bookmarkEnd w:id="58"/>
    </w:p>
    <w:p w14:paraId="00647BA4">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5C7488BC">
      <w:pPr>
        <w:pStyle w:val="195"/>
        <w:pageBreakBefore w:val="0"/>
        <w:widowControl w:val="0"/>
        <w:kinsoku/>
        <w:wordWrap/>
        <w:overflowPunct/>
        <w:topLinePunct w:val="0"/>
        <w:autoSpaceDE/>
        <w:autoSpaceDN/>
        <w:bidi w:val="0"/>
        <w:adjustRightInd/>
        <w:snapToGrid/>
        <w:spacing w:before="0" w:after="0" w:line="440" w:lineRule="exact"/>
        <w:ind w:left="0" w:firstLine="480" w:firstLineChars="200"/>
        <w:jc w:val="left"/>
        <w:textAlignment w:val="auto"/>
        <w:rPr>
          <w:rFonts w:hint="eastAsia" w:ascii="宋体" w:hAnsi="宋体" w:eastAsia="宋体" w:cs="宋体"/>
          <w:b w:val="0"/>
          <w:bCs w:val="0"/>
          <w:color w:val="auto"/>
          <w:sz w:val="24"/>
          <w:szCs w:val="24"/>
          <w:highlight w:val="none"/>
        </w:rPr>
      </w:pPr>
      <w:bookmarkStart w:id="59" w:name="_Toc20823277"/>
      <w:bookmarkStart w:id="60" w:name="_Toc16938521"/>
      <w:bookmarkStart w:id="61" w:name="_Toc513029205"/>
      <w:r>
        <w:rPr>
          <w:rFonts w:hint="eastAsia" w:ascii="宋体" w:hAnsi="宋体" w:eastAsia="宋体" w:cs="宋体"/>
          <w:b w:val="0"/>
          <w:bCs w:val="0"/>
          <w:color w:val="auto"/>
          <w:sz w:val="24"/>
          <w:szCs w:val="24"/>
          <w:highlight w:val="none"/>
        </w:rPr>
        <w:t>2、合格的投标人</w:t>
      </w:r>
      <w:bookmarkEnd w:id="59"/>
      <w:bookmarkEnd w:id="60"/>
      <w:bookmarkEnd w:id="61"/>
    </w:p>
    <w:p w14:paraId="6F29D193">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满足招标公告中供应商的资格要求的规定。</w:t>
      </w:r>
    </w:p>
    <w:p w14:paraId="34A4A660">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满足本文件实质性条款的规定。</w:t>
      </w:r>
    </w:p>
    <w:p w14:paraId="55EBD02C">
      <w:pPr>
        <w:pStyle w:val="195"/>
        <w:pageBreakBefore w:val="0"/>
        <w:widowControl w:val="0"/>
        <w:kinsoku/>
        <w:wordWrap/>
        <w:overflowPunct/>
        <w:topLinePunct w:val="0"/>
        <w:autoSpaceDE/>
        <w:autoSpaceDN/>
        <w:bidi w:val="0"/>
        <w:adjustRightInd/>
        <w:snapToGrid/>
        <w:spacing w:before="0" w:after="0" w:line="440" w:lineRule="exact"/>
        <w:ind w:left="0" w:firstLine="480" w:firstLineChars="200"/>
        <w:jc w:val="left"/>
        <w:textAlignment w:val="auto"/>
        <w:rPr>
          <w:rFonts w:hint="eastAsia" w:ascii="宋体" w:hAnsi="宋体" w:eastAsia="宋体" w:cs="宋体"/>
          <w:b w:val="0"/>
          <w:bCs w:val="0"/>
          <w:color w:val="auto"/>
          <w:sz w:val="24"/>
          <w:szCs w:val="24"/>
          <w:highlight w:val="none"/>
        </w:rPr>
      </w:pPr>
      <w:bookmarkStart w:id="62" w:name="_Toc20823278"/>
      <w:bookmarkStart w:id="63" w:name="_Toc16938522"/>
      <w:bookmarkStart w:id="64" w:name="_Toc513029206"/>
      <w:r>
        <w:rPr>
          <w:rFonts w:hint="eastAsia" w:ascii="宋体" w:hAnsi="宋体" w:eastAsia="宋体" w:cs="宋体"/>
          <w:b w:val="0"/>
          <w:bCs w:val="0"/>
          <w:color w:val="auto"/>
          <w:sz w:val="24"/>
          <w:szCs w:val="24"/>
          <w:highlight w:val="none"/>
        </w:rPr>
        <w:t>3、适用法律</w:t>
      </w:r>
      <w:bookmarkEnd w:id="62"/>
      <w:bookmarkEnd w:id="63"/>
      <w:bookmarkEnd w:id="64"/>
    </w:p>
    <w:p w14:paraId="278B22EE">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0D4F9081">
      <w:pPr>
        <w:pStyle w:val="195"/>
        <w:pageBreakBefore w:val="0"/>
        <w:widowControl w:val="0"/>
        <w:kinsoku/>
        <w:wordWrap/>
        <w:overflowPunct/>
        <w:topLinePunct w:val="0"/>
        <w:autoSpaceDE/>
        <w:autoSpaceDN/>
        <w:bidi w:val="0"/>
        <w:adjustRightInd/>
        <w:snapToGrid/>
        <w:spacing w:before="0" w:after="0" w:line="440" w:lineRule="exact"/>
        <w:ind w:left="0" w:firstLine="480" w:firstLineChars="200"/>
        <w:jc w:val="left"/>
        <w:textAlignment w:val="auto"/>
        <w:rPr>
          <w:rFonts w:hint="eastAsia" w:ascii="宋体" w:hAnsi="宋体" w:eastAsia="宋体" w:cs="宋体"/>
          <w:b w:val="0"/>
          <w:bCs w:val="0"/>
          <w:color w:val="auto"/>
          <w:sz w:val="24"/>
          <w:szCs w:val="24"/>
          <w:highlight w:val="none"/>
        </w:rPr>
      </w:pPr>
      <w:bookmarkStart w:id="65" w:name="_Toc20823279"/>
      <w:bookmarkStart w:id="66" w:name="_Toc16938523"/>
      <w:bookmarkStart w:id="67" w:name="_Toc462564067"/>
      <w:bookmarkStart w:id="68" w:name="_Toc513029207"/>
      <w:r>
        <w:rPr>
          <w:rFonts w:hint="eastAsia" w:ascii="宋体" w:hAnsi="宋体" w:eastAsia="宋体" w:cs="宋体"/>
          <w:b w:val="0"/>
          <w:bCs w:val="0"/>
          <w:color w:val="auto"/>
          <w:sz w:val="24"/>
          <w:szCs w:val="24"/>
          <w:highlight w:val="none"/>
        </w:rPr>
        <w:t>4、投标费用</w:t>
      </w:r>
      <w:bookmarkEnd w:id="65"/>
      <w:bookmarkEnd w:id="66"/>
      <w:bookmarkEnd w:id="67"/>
      <w:bookmarkEnd w:id="68"/>
    </w:p>
    <w:p w14:paraId="480C0C30">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投标人应自行承担所有与参加投标有关的费用，无论投标过程中的做法和结果如何，采购人在任何情况下均无义务和责任承担这些费用。</w:t>
      </w:r>
    </w:p>
    <w:p w14:paraId="64AF9B1E">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本次招标采购，采购人不收取标书工本费。</w:t>
      </w:r>
    </w:p>
    <w:p w14:paraId="1750ED4A">
      <w:pPr>
        <w:pStyle w:val="195"/>
        <w:pageBreakBefore w:val="0"/>
        <w:widowControl w:val="0"/>
        <w:kinsoku/>
        <w:wordWrap/>
        <w:overflowPunct/>
        <w:topLinePunct w:val="0"/>
        <w:autoSpaceDE/>
        <w:autoSpaceDN/>
        <w:bidi w:val="0"/>
        <w:adjustRightInd/>
        <w:snapToGrid/>
        <w:spacing w:before="0" w:after="0" w:line="440" w:lineRule="exact"/>
        <w:ind w:left="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5、招标文件的约束力</w:t>
      </w:r>
    </w:p>
    <w:p w14:paraId="7002C9C5">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 xml:space="preserve"> 投标人一旦参加本项目采购活动，即被认为接受了本招标文件的规定和约束，并且视为自招标公告期限届满之日起知道或应当知道自身权益是否受到了损害。</w:t>
      </w:r>
    </w:p>
    <w:p w14:paraId="5FE5BAC1">
      <w:pPr>
        <w:pStyle w:val="193"/>
        <w:pageBreakBefore w:val="0"/>
        <w:widowControl w:val="0"/>
        <w:kinsoku/>
        <w:wordWrap/>
        <w:overflowPunct/>
        <w:topLinePunct w:val="0"/>
        <w:autoSpaceDE/>
        <w:autoSpaceDN/>
        <w:bidi w:val="0"/>
        <w:adjustRightInd/>
        <w:snapToGrid/>
        <w:spacing w:before="0" w:after="0" w:line="440" w:lineRule="exact"/>
        <w:ind w:left="0" w:firstLine="482" w:firstLineChars="200"/>
        <w:jc w:val="left"/>
        <w:textAlignment w:val="auto"/>
        <w:rPr>
          <w:rFonts w:hint="eastAsia" w:ascii="宋体" w:hAnsi="宋体" w:eastAsia="宋体" w:cs="宋体"/>
          <w:color w:val="auto"/>
          <w:sz w:val="24"/>
          <w:szCs w:val="24"/>
          <w:highlight w:val="none"/>
        </w:rPr>
      </w:pPr>
      <w:bookmarkStart w:id="69" w:name="_Toc120614215"/>
      <w:bookmarkStart w:id="70" w:name="_Toc20823281"/>
      <w:bookmarkStart w:id="71" w:name="_Toc513029209"/>
      <w:bookmarkStart w:id="72" w:name="_Toc16938525"/>
      <w:r>
        <w:rPr>
          <w:rFonts w:hint="eastAsia" w:ascii="宋体" w:hAnsi="宋体" w:eastAsia="宋体" w:cs="宋体"/>
          <w:color w:val="auto"/>
          <w:sz w:val="24"/>
          <w:szCs w:val="24"/>
          <w:highlight w:val="none"/>
        </w:rPr>
        <w:t>二、招标文件</w:t>
      </w:r>
      <w:bookmarkEnd w:id="69"/>
      <w:bookmarkEnd w:id="70"/>
      <w:bookmarkEnd w:id="71"/>
      <w:bookmarkEnd w:id="72"/>
    </w:p>
    <w:p w14:paraId="29D3E94E">
      <w:pPr>
        <w:pStyle w:val="195"/>
        <w:pageBreakBefore w:val="0"/>
        <w:widowControl w:val="0"/>
        <w:kinsoku/>
        <w:wordWrap/>
        <w:overflowPunct/>
        <w:topLinePunct w:val="0"/>
        <w:autoSpaceDE/>
        <w:autoSpaceDN/>
        <w:bidi w:val="0"/>
        <w:adjustRightInd/>
        <w:snapToGrid/>
        <w:spacing w:before="0" w:after="0" w:line="440" w:lineRule="exact"/>
        <w:ind w:left="0" w:firstLine="480" w:firstLineChars="200"/>
        <w:jc w:val="left"/>
        <w:textAlignment w:val="auto"/>
        <w:rPr>
          <w:rFonts w:hint="eastAsia" w:ascii="宋体" w:hAnsi="宋体" w:eastAsia="宋体" w:cs="宋体"/>
          <w:b w:val="0"/>
          <w:bCs w:val="0"/>
          <w:color w:val="auto"/>
          <w:sz w:val="24"/>
          <w:szCs w:val="24"/>
          <w:highlight w:val="none"/>
        </w:rPr>
      </w:pPr>
      <w:bookmarkStart w:id="73" w:name="_Toc20823282"/>
      <w:bookmarkStart w:id="74" w:name="_Toc16938526"/>
      <w:bookmarkStart w:id="75" w:name="_Toc513029210"/>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、招标文件构成</w:t>
      </w:r>
      <w:bookmarkEnd w:id="73"/>
      <w:bookmarkEnd w:id="74"/>
      <w:bookmarkEnd w:id="75"/>
    </w:p>
    <w:p w14:paraId="7FEE80D8">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 招标文件</w:t>
      </w:r>
      <w:r>
        <w:rPr>
          <w:rFonts w:hint="eastAsia" w:ascii="宋体" w:hAnsi="宋体" w:eastAsia="宋体" w:cs="宋体"/>
          <w:color w:val="auto"/>
          <w:sz w:val="24"/>
          <w:szCs w:val="24"/>
          <w:highlight w:val="none"/>
          <w:lang w:val="en-US" w:eastAsia="zh-CN"/>
        </w:rPr>
        <w:t>由</w:t>
      </w:r>
      <w:r>
        <w:rPr>
          <w:rFonts w:hint="eastAsia" w:ascii="宋体" w:hAnsi="宋体" w:eastAsia="宋体" w:cs="宋体"/>
          <w:color w:val="auto"/>
          <w:sz w:val="24"/>
          <w:szCs w:val="24"/>
          <w:highlight w:val="none"/>
        </w:rPr>
        <w:t>以下部分组成：</w:t>
      </w:r>
    </w:p>
    <w:p w14:paraId="00855488">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（1）招标公告</w:t>
      </w:r>
    </w:p>
    <w:p w14:paraId="202FDDDD">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5EE503F8">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（3）合同条款及格式</w:t>
      </w:r>
    </w:p>
    <w:p w14:paraId="4553315A">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43CA2858">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4374A818">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2C79CD8C">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请仔细检查招标文件是否齐全，如有缺漏请立即与采购人联系解决。</w:t>
      </w:r>
    </w:p>
    <w:p w14:paraId="52E16B5A">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B1E6CEE">
      <w:pPr>
        <w:pStyle w:val="195"/>
        <w:pageBreakBefore w:val="0"/>
        <w:widowControl w:val="0"/>
        <w:kinsoku/>
        <w:wordWrap/>
        <w:overflowPunct/>
        <w:topLinePunct w:val="0"/>
        <w:autoSpaceDE/>
        <w:autoSpaceDN/>
        <w:bidi w:val="0"/>
        <w:adjustRightInd/>
        <w:snapToGrid/>
        <w:spacing w:before="0" w:after="0" w:line="440" w:lineRule="exact"/>
        <w:ind w:left="0" w:firstLine="480" w:firstLineChars="200"/>
        <w:jc w:val="left"/>
        <w:textAlignment w:val="auto"/>
        <w:rPr>
          <w:rFonts w:hint="eastAsia" w:ascii="宋体" w:hAnsi="宋体" w:eastAsia="宋体" w:cs="宋体"/>
          <w:b w:val="0"/>
          <w:bCs w:val="0"/>
          <w:color w:val="auto"/>
          <w:sz w:val="24"/>
          <w:szCs w:val="24"/>
          <w:highlight w:val="none"/>
        </w:rPr>
      </w:pPr>
      <w:bookmarkStart w:id="76" w:name="_Toc16938527"/>
      <w:bookmarkStart w:id="77" w:name="_Toc20823283"/>
      <w:bookmarkStart w:id="78" w:name="_Toc462564070"/>
      <w:bookmarkStart w:id="79" w:name="_Toc513029211"/>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rPr>
        <w:t>、</w:t>
      </w:r>
      <w:bookmarkEnd w:id="76"/>
      <w:bookmarkEnd w:id="77"/>
      <w:bookmarkEnd w:id="78"/>
      <w:bookmarkEnd w:id="79"/>
      <w:r>
        <w:rPr>
          <w:rFonts w:hint="eastAsia" w:ascii="宋体" w:hAnsi="宋体" w:eastAsia="宋体" w:cs="宋体"/>
          <w:b w:val="0"/>
          <w:bCs w:val="0"/>
          <w:color w:val="auto"/>
          <w:sz w:val="24"/>
          <w:szCs w:val="24"/>
          <w:highlight w:val="none"/>
        </w:rPr>
        <w:t>招标文件的澄清</w:t>
      </w:r>
    </w:p>
    <w:p w14:paraId="068C2381">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.1</w:t>
      </w:r>
      <w:r>
        <w:rPr>
          <w:rFonts w:hint="eastAsia" w:ascii="宋体" w:hAnsi="宋体" w:eastAsia="宋体" w:cs="宋体"/>
          <w:color w:val="auto"/>
          <w:sz w:val="24"/>
          <w:szCs w:val="24"/>
          <w:highlight w:val="none"/>
        </w:rPr>
        <w:t xml:space="preserve"> 任何要求对招标文件进行澄清的投标人，应在投标截止期十日前按招标公告中的通讯地址，以书面形式通知</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w:t>
      </w:r>
    </w:p>
    <w:p w14:paraId="561B7585">
      <w:pPr>
        <w:pStyle w:val="195"/>
        <w:pageBreakBefore w:val="0"/>
        <w:widowControl w:val="0"/>
        <w:kinsoku/>
        <w:wordWrap/>
        <w:overflowPunct/>
        <w:topLinePunct w:val="0"/>
        <w:autoSpaceDE/>
        <w:autoSpaceDN/>
        <w:bidi w:val="0"/>
        <w:adjustRightInd/>
        <w:snapToGrid/>
        <w:spacing w:before="0" w:after="0" w:line="440" w:lineRule="exact"/>
        <w:ind w:left="0" w:firstLine="480" w:firstLineChars="200"/>
        <w:jc w:val="left"/>
        <w:textAlignment w:val="auto"/>
        <w:rPr>
          <w:rFonts w:hint="eastAsia" w:ascii="宋体" w:hAnsi="宋体" w:eastAsia="宋体" w:cs="宋体"/>
          <w:b w:val="0"/>
          <w:bCs w:val="0"/>
          <w:color w:val="auto"/>
          <w:sz w:val="24"/>
          <w:szCs w:val="24"/>
          <w:highlight w:val="none"/>
        </w:rPr>
      </w:pPr>
      <w:bookmarkStart w:id="80" w:name="_Toc20823284"/>
      <w:bookmarkStart w:id="81" w:name="_Toc16938528"/>
      <w:bookmarkStart w:id="82" w:name="_Toc462564071"/>
      <w:bookmarkStart w:id="83" w:name="_Toc513029212"/>
      <w:r>
        <w:rPr>
          <w:rFonts w:hint="eastAsia" w:ascii="宋体" w:hAnsi="宋体" w:eastAsia="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w:t>
      </w:r>
      <w:bookmarkEnd w:id="80"/>
      <w:bookmarkEnd w:id="81"/>
      <w:bookmarkEnd w:id="82"/>
      <w:bookmarkEnd w:id="83"/>
      <w:r>
        <w:rPr>
          <w:rFonts w:hint="eastAsia" w:ascii="宋体" w:hAnsi="宋体" w:eastAsia="宋体" w:cs="宋体"/>
          <w:b w:val="0"/>
          <w:bCs w:val="0"/>
          <w:color w:val="auto"/>
          <w:sz w:val="24"/>
          <w:szCs w:val="24"/>
          <w:highlight w:val="none"/>
        </w:rPr>
        <w:t>招标文件的修改</w:t>
      </w:r>
    </w:p>
    <w:p w14:paraId="75271FAC">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在投标截止时间前，采购人可以对招标文件进行修改。</w:t>
      </w:r>
    </w:p>
    <w:p w14:paraId="77109A15">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.2采购人有权按照法定的要求推迟投标截止日期和开标日期。</w:t>
      </w:r>
      <w:r>
        <w:rPr>
          <w:rFonts w:hint="eastAsia" w:ascii="宋体" w:hAnsi="宋体" w:eastAsia="宋体" w:cs="宋体"/>
          <w:color w:val="auto"/>
          <w:sz w:val="24"/>
          <w:szCs w:val="24"/>
          <w:highlight w:val="none"/>
          <w:lang w:val="en-US" w:eastAsia="zh-CN"/>
        </w:rPr>
        <w:t xml:space="preserve">  </w:t>
      </w:r>
    </w:p>
    <w:p w14:paraId="02D6B114">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.3招标文件的修改将在中国政府采购网、江苏政府采购网、盐城市政府采购网公布，补充文件将作为招标文件的组成部分，并对投标人具有约束力。</w:t>
      </w:r>
    </w:p>
    <w:p w14:paraId="316582AA">
      <w:pPr>
        <w:pStyle w:val="193"/>
        <w:pageBreakBefore w:val="0"/>
        <w:widowControl w:val="0"/>
        <w:kinsoku/>
        <w:wordWrap/>
        <w:overflowPunct/>
        <w:topLinePunct w:val="0"/>
        <w:autoSpaceDE/>
        <w:autoSpaceDN/>
        <w:bidi w:val="0"/>
        <w:adjustRightInd/>
        <w:snapToGrid/>
        <w:spacing w:before="0" w:after="0" w:line="440" w:lineRule="exact"/>
        <w:ind w:left="0" w:firstLine="482" w:firstLineChars="200"/>
        <w:jc w:val="left"/>
        <w:textAlignment w:val="auto"/>
        <w:rPr>
          <w:rFonts w:hint="eastAsia" w:ascii="宋体" w:hAnsi="宋体" w:eastAsia="宋体" w:cs="宋体"/>
          <w:color w:val="auto"/>
          <w:sz w:val="24"/>
          <w:szCs w:val="24"/>
          <w:highlight w:val="none"/>
        </w:rPr>
      </w:pPr>
      <w:bookmarkStart w:id="84" w:name="_Toc16938529"/>
      <w:bookmarkStart w:id="85" w:name="_Toc462564072"/>
      <w:bookmarkStart w:id="86" w:name="_Toc513029213"/>
      <w:bookmarkStart w:id="87" w:name="_Toc120614216"/>
      <w:bookmarkStart w:id="88" w:name="_Toc20823285"/>
      <w:r>
        <w:rPr>
          <w:rFonts w:hint="eastAsia" w:ascii="宋体" w:hAnsi="宋体" w:eastAsia="宋体" w:cs="宋体"/>
          <w:color w:val="auto"/>
          <w:sz w:val="24"/>
          <w:szCs w:val="24"/>
          <w:highlight w:val="none"/>
        </w:rPr>
        <w:t>三、投标文件的编制</w:t>
      </w:r>
      <w:bookmarkEnd w:id="84"/>
      <w:bookmarkEnd w:id="85"/>
      <w:bookmarkEnd w:id="86"/>
      <w:bookmarkEnd w:id="87"/>
      <w:bookmarkEnd w:id="88"/>
    </w:p>
    <w:p w14:paraId="401326B8">
      <w:pPr>
        <w:pStyle w:val="195"/>
        <w:pageBreakBefore w:val="0"/>
        <w:widowControl w:val="0"/>
        <w:kinsoku/>
        <w:wordWrap/>
        <w:overflowPunct/>
        <w:topLinePunct w:val="0"/>
        <w:autoSpaceDE/>
        <w:autoSpaceDN/>
        <w:bidi w:val="0"/>
        <w:adjustRightInd/>
        <w:snapToGrid/>
        <w:spacing w:before="0" w:after="0" w:line="440" w:lineRule="exact"/>
        <w:ind w:left="0" w:firstLine="480" w:firstLineChars="200"/>
        <w:jc w:val="left"/>
        <w:textAlignment w:val="auto"/>
        <w:rPr>
          <w:rFonts w:hint="eastAsia" w:ascii="宋体" w:hAnsi="宋体" w:eastAsia="宋体" w:cs="宋体"/>
          <w:bCs w:val="0"/>
          <w:color w:val="auto"/>
          <w:sz w:val="24"/>
          <w:szCs w:val="24"/>
          <w:highlight w:val="none"/>
        </w:rPr>
      </w:pPr>
      <w:bookmarkStart w:id="89" w:name="_Toc16938530"/>
      <w:bookmarkStart w:id="90" w:name="_Toc20823286"/>
      <w:bookmarkStart w:id="91" w:name="_Toc513029214"/>
      <w:bookmarkStart w:id="92" w:name="_Toc462564073"/>
      <w:r>
        <w:rPr>
          <w:rFonts w:hint="eastAsia" w:ascii="宋体" w:hAnsi="宋体" w:eastAsia="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rPr>
        <w:t>、投标文件的语言及度量衡单位</w:t>
      </w:r>
      <w:bookmarkEnd w:id="89"/>
      <w:bookmarkEnd w:id="90"/>
      <w:bookmarkEnd w:id="91"/>
      <w:bookmarkEnd w:id="92"/>
    </w:p>
    <w:p w14:paraId="1B5B5E59">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.1</w:t>
      </w:r>
      <w:r>
        <w:rPr>
          <w:rFonts w:hint="eastAsia" w:ascii="宋体" w:hAnsi="宋体" w:eastAsia="宋体" w:cs="宋体"/>
          <w:color w:val="auto"/>
          <w:sz w:val="24"/>
          <w:szCs w:val="24"/>
          <w:highlight w:val="none"/>
        </w:rPr>
        <w:t xml:space="preserve"> 投标人提交的投标文件以及投标人与采购人就有关投标的所有来往通知、函件和文件均应使用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14:paraId="61B81725">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p>
    <w:p w14:paraId="72E67A2B">
      <w:pPr>
        <w:pStyle w:val="195"/>
        <w:pageBreakBefore w:val="0"/>
        <w:widowControl w:val="0"/>
        <w:kinsoku/>
        <w:wordWrap/>
        <w:overflowPunct/>
        <w:topLinePunct w:val="0"/>
        <w:autoSpaceDE/>
        <w:autoSpaceDN/>
        <w:bidi w:val="0"/>
        <w:adjustRightInd/>
        <w:snapToGrid/>
        <w:spacing w:before="0" w:after="0" w:line="440" w:lineRule="exact"/>
        <w:ind w:left="0" w:firstLine="480" w:firstLineChars="200"/>
        <w:jc w:val="left"/>
        <w:textAlignment w:val="auto"/>
        <w:rPr>
          <w:rFonts w:hint="eastAsia" w:ascii="宋体" w:hAnsi="宋体" w:eastAsia="宋体" w:cs="宋体"/>
          <w:b w:val="0"/>
          <w:bCs w:val="0"/>
          <w:color w:val="auto"/>
          <w:sz w:val="24"/>
          <w:szCs w:val="24"/>
          <w:highlight w:val="none"/>
        </w:rPr>
      </w:pPr>
      <w:bookmarkStart w:id="93" w:name="_Toc16938531"/>
      <w:bookmarkStart w:id="94" w:name="_Toc462564074"/>
      <w:bookmarkStart w:id="95" w:name="_Toc20823287"/>
      <w:bookmarkStart w:id="96" w:name="_Toc513029215"/>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rPr>
        <w:t>、投标文件构成</w:t>
      </w:r>
      <w:bookmarkEnd w:id="93"/>
      <w:bookmarkEnd w:id="94"/>
      <w:bookmarkEnd w:id="95"/>
      <w:bookmarkEnd w:id="96"/>
    </w:p>
    <w:p w14:paraId="74C1DE0B">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bookmarkStart w:id="97" w:name="_Toc49090509"/>
      <w:bookmarkStart w:id="98" w:name="_Toc14577357"/>
      <w:bookmarkStart w:id="99" w:name="_Toc513029219"/>
      <w:bookmarkStart w:id="100" w:name="_Toc49090507"/>
      <w:bookmarkStart w:id="101" w:name="_Toc513029216"/>
      <w:bookmarkStart w:id="102" w:name="_Toc14577354"/>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 投标文件至少应提交（包含并不限于）以下投标材料：(请各单位根据实际情况进行调整)</w:t>
      </w:r>
    </w:p>
    <w:p w14:paraId="45F69348">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.1.1 资信证明文件</w:t>
      </w:r>
    </w:p>
    <w:p w14:paraId="32FE55B5">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.1.2 资格性审查响应对照表</w:t>
      </w:r>
    </w:p>
    <w:p w14:paraId="68AA7D54">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.1.3 符合性检查响应对照表</w:t>
      </w:r>
    </w:p>
    <w:p w14:paraId="118890A8">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.1.4 投标函</w:t>
      </w:r>
    </w:p>
    <w:p w14:paraId="698678C7">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.1.5 开标一览表（详见投标文件格式，用于唱标）</w:t>
      </w:r>
    </w:p>
    <w:p w14:paraId="3CA5DE4D">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.1.6 投标报价分项表（详见招标文件格式）</w:t>
      </w:r>
    </w:p>
    <w:p w14:paraId="253A46F7">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.1.7 技术部分</w:t>
      </w:r>
    </w:p>
    <w:p w14:paraId="29D9C996">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.1.8 招标文件中规定要求提供的证明材料和投标人认为需要提供的其他材料</w:t>
      </w:r>
    </w:p>
    <w:p w14:paraId="47CE3A59">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.1.9 盐城市大丰区政府采购供应商承诺书</w:t>
      </w:r>
    </w:p>
    <w:p w14:paraId="461389B9">
      <w:pPr>
        <w:pStyle w:val="195"/>
        <w:pageBreakBefore w:val="0"/>
        <w:widowControl w:val="0"/>
        <w:kinsoku/>
        <w:wordWrap/>
        <w:overflowPunct/>
        <w:topLinePunct w:val="0"/>
        <w:autoSpaceDE/>
        <w:autoSpaceDN/>
        <w:bidi w:val="0"/>
        <w:adjustRightInd/>
        <w:snapToGrid/>
        <w:spacing w:before="0" w:after="0" w:line="440" w:lineRule="exact"/>
        <w:ind w:left="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w:t>
      </w:r>
      <w:bookmarkEnd w:id="97"/>
      <w:bookmarkEnd w:id="98"/>
      <w:bookmarkEnd w:id="99"/>
      <w:bookmarkEnd w:id="100"/>
      <w:bookmarkEnd w:id="101"/>
      <w:bookmarkEnd w:id="102"/>
      <w:r>
        <w:rPr>
          <w:rFonts w:hint="eastAsia" w:ascii="宋体" w:hAnsi="宋体" w:eastAsia="宋体" w:cs="宋体"/>
          <w:b w:val="0"/>
          <w:bCs w:val="0"/>
          <w:color w:val="auto"/>
          <w:sz w:val="24"/>
          <w:szCs w:val="24"/>
          <w:highlight w:val="none"/>
        </w:rPr>
        <w:t>证明投标人及投标标的符合招标文件规定的文件</w:t>
      </w:r>
    </w:p>
    <w:p w14:paraId="0718222F">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11.1 投标人应按照招标文件要求提交证明文件，证明其及投标标的符合招标文件规定。</w:t>
      </w:r>
    </w:p>
    <w:p w14:paraId="5A9CFDCE">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11.2招标文件对证明文件无明确形式要求的，证明文件可以以文字资料、图纸和数据等形式提交。</w:t>
      </w:r>
    </w:p>
    <w:p w14:paraId="240AFD51">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12、报价表</w:t>
      </w:r>
    </w:p>
    <w:p w14:paraId="15D2F303">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12.1  采购人将拒绝高于最高限价的投标报价。</w:t>
      </w:r>
    </w:p>
    <w:p w14:paraId="1D51A014">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12.2  招标报价采用总承包方式，投标人的报价应包括投标文件所承诺的工期期限内并达到投标人所承诺的质量标准为完成招标文件所确定的招标范围的全部内容所需费用的全部价格体现。（包括但不限于软件费用、硬件设备费、运输费、上下力资、安装调试费、备品备件费、专用器具费、服务器等设备升级费、运维服务费（含运维人员、设备全部费用）、软件升级费用、光纤网络建设及使用费用、售后服务费、培训费、管理费、前期咨询费、验收服务费、与原有平台对接及融合费、利润及税金、总承包服务费等全部费用），招标文件中另有规定的除外。投标所报单价为最终结算单价，投标人不得再要求追加任何费用。同时，除非合同条款中另有规定，否则，投标单位所报单价在合同实施期间不因市场变化因素而变动。</w:t>
      </w:r>
    </w:p>
    <w:p w14:paraId="24BE96DF">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2"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投标人须充分考虑各种影响报价的因素包括但不限于充分了解采购人现有平台及网络架构的与本项目融合对接费用，进行合理化报价。</w:t>
      </w:r>
    </w:p>
    <w:p w14:paraId="3EABF321">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12.3 投标人根据招标内容的要求准确报价，一经报出，不得更改。</w:t>
      </w:r>
    </w:p>
    <w:p w14:paraId="15456CEB">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12.4 如出现不合理的报价，经评标委员会评审其报价明显高于其市场价或低于其企业成本的，均可作废标处理。</w:t>
      </w:r>
    </w:p>
    <w:p w14:paraId="2D90BCE7">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12.5 投标报价的单位为人民币(元)。如果未能按合同、招标投标文件履约的，中止合同，履约保证金不予退还，并不支付服务期间的服务费用。招标方有权终止合同的履行，受托单位应承担相应的完全责任，包括赔偿因此而给本单位及第三人带来的相应损失。</w:t>
      </w:r>
    </w:p>
    <w:p w14:paraId="77C72687">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12.6 对于超出招标文件的其他临时性服务项目，由甲乙双方协商解决。</w:t>
      </w:r>
    </w:p>
    <w:p w14:paraId="7FFF908D">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12.7 开标时，当投标文件中开标一览表内容与分项明细报价表内容不一致时，以开标一览表为准。</w:t>
      </w:r>
    </w:p>
    <w:p w14:paraId="7135F73A">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投标文件的大写金额和小写金额不一致的，以大写金额为准；对不同文字文本投标的解释发生异议的，以中文文本为准。</w:t>
      </w:r>
    </w:p>
    <w:p w14:paraId="370545EB">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12.8 投标人在报价时，价格包含一切税费，未作说明的情况下，视同包含一切税费。</w:t>
      </w:r>
    </w:p>
    <w:p w14:paraId="73ADED15">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13、技术要求响应及偏离表、商务要求响应及偏离表</w:t>
      </w:r>
    </w:p>
    <w:p w14:paraId="321FCB13">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13.1投标人需对招标文件中的技术要求与商务要求逐项作出响应或偏离，并说明原因。</w:t>
      </w:r>
    </w:p>
    <w:p w14:paraId="7FDE64E6">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13.2 投标人可在投标文件中提供认为需要的其他技术文件或说明。</w:t>
      </w:r>
    </w:p>
    <w:p w14:paraId="34DA4C08">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14、服务承诺、培训计划、人员安排及其他</w:t>
      </w:r>
    </w:p>
    <w:p w14:paraId="74ECEAD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14.1 投标人需根据招标文件要求提供有关售后服务的管理制度，售后服务机构的分布情况，售后服务人员的数量、素质、技术水平及售后服务的反应能力等。</w:t>
      </w:r>
    </w:p>
    <w:p w14:paraId="1128F8E2">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14.2 投标人需根据招标文件要求提供培训计划。</w:t>
      </w:r>
    </w:p>
    <w:p w14:paraId="5B2B6267">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bookmarkStart w:id="103" w:name="_Toc49090510"/>
      <w:bookmarkStart w:id="104" w:name="_Toc14577359"/>
      <w:r>
        <w:rPr>
          <w:rFonts w:hint="eastAsia" w:ascii="宋体" w:hAnsi="宋体" w:eastAsia="宋体" w:cs="宋体"/>
          <w:color w:val="auto"/>
          <w:kern w:val="0"/>
          <w:sz w:val="24"/>
          <w:szCs w:val="24"/>
          <w:highlight w:val="none"/>
          <w:lang w:val="en-US" w:eastAsia="zh-CN" w:bidi="ar-SA"/>
        </w:rPr>
        <w:t>15、投标函和开标一览表</w:t>
      </w:r>
      <w:bookmarkEnd w:id="103"/>
      <w:bookmarkEnd w:id="104"/>
    </w:p>
    <w:p w14:paraId="3CB4F309">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15.1 投标人应按照招标文件中提供的格式完整、正确填写投标函、开标一览表。</w:t>
      </w:r>
    </w:p>
    <w:p w14:paraId="3C52A66D">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15.2 对于采用货币报价的项目，开标一览表中的投标总报价应与投标分项报价表中的投标总报价一致，如不一致，不作为无效投标处理，但评标时按开标一览表中价格为准。</w:t>
      </w:r>
    </w:p>
    <w:p w14:paraId="036159CB">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bookmarkStart w:id="105" w:name="_Toc49090511"/>
      <w:bookmarkStart w:id="106" w:name="_Toc14577360"/>
      <w:r>
        <w:rPr>
          <w:rFonts w:hint="eastAsia" w:ascii="宋体" w:hAnsi="宋体" w:eastAsia="宋体" w:cs="宋体"/>
          <w:color w:val="auto"/>
          <w:kern w:val="0"/>
          <w:sz w:val="24"/>
          <w:szCs w:val="24"/>
          <w:highlight w:val="none"/>
          <w:lang w:val="en-US" w:eastAsia="zh-CN" w:bidi="ar-SA"/>
        </w:rPr>
        <w:t>16、投标有效期</w:t>
      </w:r>
      <w:bookmarkEnd w:id="105"/>
      <w:bookmarkEnd w:id="106"/>
    </w:p>
    <w:p w14:paraId="32AAB68E">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16.1投标有效期为交易中心规定的开标之日后</w:t>
      </w:r>
      <w:r>
        <w:rPr>
          <w:rFonts w:hint="eastAsia" w:ascii="宋体" w:hAnsi="宋体" w:eastAsia="宋体" w:cs="宋体"/>
          <w:b/>
          <w:color w:val="auto"/>
          <w:kern w:val="0"/>
          <w:sz w:val="24"/>
          <w:szCs w:val="24"/>
          <w:highlight w:val="none"/>
          <w:u w:val="single"/>
          <w:lang w:val="en-US" w:eastAsia="zh-CN" w:bidi="ar-SA"/>
        </w:rPr>
        <w:t>九十（90）天</w:t>
      </w:r>
      <w:r>
        <w:rPr>
          <w:rFonts w:hint="eastAsia" w:ascii="宋体" w:hAnsi="宋体" w:eastAsia="宋体" w:cs="宋体"/>
          <w:color w:val="auto"/>
          <w:kern w:val="0"/>
          <w:sz w:val="24"/>
          <w:szCs w:val="24"/>
          <w:highlight w:val="none"/>
          <w:lang w:val="en-US" w:eastAsia="zh-CN" w:bidi="ar-SA"/>
        </w:rPr>
        <w:t>。投标有效期比规定短的将被视为未实质性响应招标文件而予以拒绝。</w:t>
      </w:r>
    </w:p>
    <w:p w14:paraId="43AEABA6">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17、投标有效期的延长</w:t>
      </w:r>
    </w:p>
    <w:p w14:paraId="5858C67E">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p>
    <w:p w14:paraId="4B10AB49">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2" w:firstLineChars="200"/>
        <w:jc w:val="left"/>
        <w:textAlignment w:val="auto"/>
        <w:rPr>
          <w:rFonts w:hint="eastAsia" w:ascii="宋体" w:hAnsi="宋体" w:eastAsia="宋体" w:cs="宋体"/>
          <w:color w:val="auto"/>
          <w:kern w:val="0"/>
          <w:sz w:val="24"/>
          <w:szCs w:val="24"/>
          <w:highlight w:val="none"/>
          <w:lang w:val="en-US" w:eastAsia="zh-CN" w:bidi="ar-SA"/>
        </w:rPr>
      </w:pPr>
      <w:bookmarkStart w:id="107" w:name="_Toc120614217"/>
      <w:bookmarkStart w:id="108" w:name="_Toc513029224"/>
      <w:bookmarkStart w:id="109" w:name="_Toc20823296"/>
      <w:bookmarkStart w:id="110" w:name="_Toc16938540"/>
      <w:r>
        <w:rPr>
          <w:rFonts w:hint="eastAsia" w:ascii="宋体" w:hAnsi="宋体" w:eastAsia="宋体" w:cs="宋体"/>
          <w:b/>
          <w:color w:val="auto"/>
          <w:kern w:val="0"/>
          <w:sz w:val="24"/>
          <w:szCs w:val="24"/>
          <w:highlight w:val="none"/>
          <w:lang w:val="en-US" w:eastAsia="zh-CN" w:bidi="ar-SA"/>
        </w:rPr>
        <w:t>四、投标文件的递交</w:t>
      </w:r>
      <w:bookmarkEnd w:id="107"/>
      <w:bookmarkEnd w:id="108"/>
      <w:bookmarkEnd w:id="109"/>
      <w:bookmarkEnd w:id="110"/>
    </w:p>
    <w:p w14:paraId="462B5A82">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bookmarkStart w:id="111" w:name="_Toc16938541"/>
      <w:bookmarkStart w:id="112" w:name="_Toc20823297"/>
      <w:bookmarkStart w:id="113" w:name="_Toc462564084"/>
      <w:bookmarkStart w:id="114" w:name="_Toc513029225"/>
      <w:r>
        <w:rPr>
          <w:rFonts w:hint="eastAsia" w:ascii="宋体" w:hAnsi="宋体" w:eastAsia="宋体" w:cs="宋体"/>
          <w:color w:val="auto"/>
          <w:kern w:val="0"/>
          <w:sz w:val="24"/>
          <w:szCs w:val="24"/>
          <w:highlight w:val="none"/>
          <w:lang w:val="en-US" w:eastAsia="zh-CN" w:bidi="ar-SA"/>
        </w:rPr>
        <w:t>18、电子投标文件</w:t>
      </w:r>
      <w:bookmarkEnd w:id="111"/>
      <w:bookmarkEnd w:id="112"/>
      <w:bookmarkEnd w:id="113"/>
      <w:bookmarkEnd w:id="114"/>
      <w:r>
        <w:rPr>
          <w:rFonts w:hint="eastAsia" w:ascii="宋体" w:hAnsi="宋体" w:eastAsia="宋体" w:cs="宋体"/>
          <w:color w:val="auto"/>
          <w:kern w:val="0"/>
          <w:sz w:val="24"/>
          <w:szCs w:val="24"/>
          <w:highlight w:val="none"/>
          <w:lang w:val="en-US" w:eastAsia="zh-CN" w:bidi="ar-SA"/>
        </w:rPr>
        <w:t>的递交</w:t>
      </w:r>
    </w:p>
    <w:p w14:paraId="0DD88C77">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18.1投标人应当按照《操作手册》规定，在投标截止时间前制作并上传电子投标文件。</w:t>
      </w:r>
      <w:bookmarkStart w:id="115" w:name="_Toc16938542"/>
      <w:bookmarkEnd w:id="115"/>
      <w:bookmarkStart w:id="116" w:name="_Toc20823298"/>
      <w:bookmarkEnd w:id="116"/>
    </w:p>
    <w:p w14:paraId="588F88B2">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19、投标截止日期</w:t>
      </w:r>
    </w:p>
    <w:p w14:paraId="6FB490A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i w:val="0"/>
          <w:iCs/>
          <w:color w:val="auto"/>
          <w:kern w:val="0"/>
          <w:sz w:val="24"/>
          <w:szCs w:val="24"/>
          <w:highlight w:val="none"/>
          <w:u w:val="none"/>
          <w:lang w:val="en-US" w:eastAsia="zh-CN" w:bidi="ar-SA"/>
        </w:rPr>
        <w:t>19.1 投标人上传电子投标文件的时间不得迟于招标公告中规定的投标截止时间。</w:t>
      </w:r>
    </w:p>
    <w:p w14:paraId="6D4403AF">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投标人应充分考虑到网络环境、网络带宽等风险因素，如因投标人自身原因造成的电子投标文件上传不成功的按照本招标文件第二章第27.1.2条规定做无效投标处理。</w:t>
      </w:r>
    </w:p>
    <w:p w14:paraId="110EB610">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19.2 交易中心可以按照规定，通过修改招标文件酌情延长投标截止日期，在此情况下，投标人的所有权利和义务以及投标人受制的截止日期均应以延长后新的截止日期为准。</w:t>
      </w:r>
    </w:p>
    <w:p w14:paraId="7990164F">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bookmarkStart w:id="117" w:name="_Toc20823299"/>
      <w:bookmarkStart w:id="118" w:name="_Toc16938543"/>
      <w:bookmarkStart w:id="119" w:name="_Toc513029227"/>
      <w:r>
        <w:rPr>
          <w:rFonts w:hint="eastAsia" w:ascii="宋体" w:hAnsi="宋体" w:eastAsia="宋体" w:cs="宋体"/>
          <w:color w:val="auto"/>
          <w:kern w:val="0"/>
          <w:sz w:val="24"/>
          <w:szCs w:val="24"/>
          <w:highlight w:val="none"/>
          <w:lang w:val="en-US" w:eastAsia="zh-CN" w:bidi="ar-SA"/>
        </w:rPr>
        <w:t>20、投标文件</w:t>
      </w:r>
      <w:bookmarkEnd w:id="117"/>
      <w:bookmarkEnd w:id="118"/>
      <w:bookmarkEnd w:id="119"/>
      <w:r>
        <w:rPr>
          <w:rFonts w:hint="eastAsia" w:ascii="宋体" w:hAnsi="宋体" w:eastAsia="宋体" w:cs="宋体"/>
          <w:color w:val="auto"/>
          <w:kern w:val="0"/>
          <w:sz w:val="24"/>
          <w:szCs w:val="24"/>
          <w:highlight w:val="none"/>
          <w:lang w:val="en-US" w:eastAsia="zh-CN" w:bidi="ar-SA"/>
        </w:rPr>
        <w:t>的拒收</w:t>
      </w:r>
    </w:p>
    <w:p w14:paraId="6254CB77">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20.1 交易中心拒绝接收在其规定的投标截止时间后上传的任何投标文件。</w:t>
      </w:r>
    </w:p>
    <w:p w14:paraId="53D3CA18">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bookmarkStart w:id="120" w:name="_Toc16938544"/>
      <w:bookmarkStart w:id="121" w:name="_Toc20823300"/>
      <w:bookmarkStart w:id="122" w:name="_Toc513029228"/>
      <w:r>
        <w:rPr>
          <w:rFonts w:hint="eastAsia" w:ascii="宋体" w:hAnsi="宋体" w:eastAsia="宋体" w:cs="宋体"/>
          <w:color w:val="auto"/>
          <w:kern w:val="0"/>
          <w:sz w:val="24"/>
          <w:szCs w:val="24"/>
          <w:highlight w:val="none"/>
          <w:lang w:val="en-US" w:eastAsia="zh-CN" w:bidi="ar-SA"/>
        </w:rPr>
        <w:t>21、投标文件的撤回和修改</w:t>
      </w:r>
      <w:bookmarkEnd w:id="120"/>
      <w:bookmarkEnd w:id="121"/>
      <w:bookmarkEnd w:id="122"/>
    </w:p>
    <w:p w14:paraId="71BB8C91">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21.1 投标文件的撤回</w:t>
      </w:r>
    </w:p>
    <w:p w14:paraId="3D58AE5B">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21.1.1 电子投标文件的撤回</w:t>
      </w:r>
    </w:p>
    <w:p w14:paraId="6F98166F">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投标人可在投标截止时间前，撤回其电子投标文件，具体操作方法见《操作手册》。</w:t>
      </w:r>
    </w:p>
    <w:p w14:paraId="16798783">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21.1.2 投标人撤回电子投标文件，则认为其不再参与本项目投标活动。</w:t>
      </w:r>
    </w:p>
    <w:p w14:paraId="2E4ED800">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21.2 投标文件的修改</w:t>
      </w:r>
    </w:p>
    <w:p w14:paraId="3B657B6D">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21.2.1投标人可在投标截止时间前，对其电子投标文件进行修改，具体操作方法见《操作手册》。</w:t>
      </w:r>
    </w:p>
    <w:p w14:paraId="7B1A054C">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21.2.2 在投标截止时间之后，投标人不得对其电子投标文件作任何修改。</w:t>
      </w:r>
    </w:p>
    <w:p w14:paraId="1B11C30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21.3 在投标截止时间至招标文件中规定的投标有效期满之间的这段时间内，投标人不得撤回其投标。</w:t>
      </w:r>
    </w:p>
    <w:p w14:paraId="52B22ECF">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2" w:firstLineChars="200"/>
        <w:jc w:val="left"/>
        <w:textAlignment w:val="auto"/>
        <w:rPr>
          <w:rFonts w:hint="eastAsia" w:ascii="宋体" w:hAnsi="宋体" w:eastAsia="宋体" w:cs="宋体"/>
          <w:color w:val="auto"/>
          <w:kern w:val="0"/>
          <w:sz w:val="24"/>
          <w:szCs w:val="24"/>
          <w:highlight w:val="none"/>
          <w:lang w:val="en-US" w:eastAsia="zh-CN" w:bidi="ar-SA"/>
        </w:rPr>
      </w:pPr>
      <w:bookmarkStart w:id="123" w:name="_Toc20823301"/>
      <w:bookmarkStart w:id="124" w:name="_Toc120614218"/>
      <w:bookmarkStart w:id="125" w:name="_Toc16938545"/>
      <w:bookmarkStart w:id="126" w:name="_Toc513029229"/>
      <w:r>
        <w:rPr>
          <w:rFonts w:hint="eastAsia" w:ascii="宋体" w:hAnsi="宋体" w:eastAsia="宋体" w:cs="宋体"/>
          <w:b/>
          <w:color w:val="auto"/>
          <w:kern w:val="0"/>
          <w:sz w:val="24"/>
          <w:szCs w:val="24"/>
          <w:highlight w:val="none"/>
          <w:lang w:val="en-US" w:eastAsia="zh-CN" w:bidi="ar-SA"/>
        </w:rPr>
        <w:t>五、开标与评标</w:t>
      </w:r>
      <w:bookmarkEnd w:id="123"/>
      <w:bookmarkEnd w:id="124"/>
      <w:bookmarkEnd w:id="125"/>
      <w:bookmarkEnd w:id="126"/>
    </w:p>
    <w:p w14:paraId="522446D7">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bookmarkStart w:id="127" w:name="_Toc513029230"/>
      <w:bookmarkStart w:id="128" w:name="_Toc20823302"/>
      <w:bookmarkStart w:id="129" w:name="_Toc16938546"/>
      <w:r>
        <w:rPr>
          <w:rFonts w:hint="eastAsia" w:ascii="宋体" w:hAnsi="宋体" w:eastAsia="宋体" w:cs="宋体"/>
          <w:color w:val="auto"/>
          <w:kern w:val="0"/>
          <w:sz w:val="24"/>
          <w:szCs w:val="24"/>
          <w:highlight w:val="none"/>
          <w:lang w:val="en-US" w:eastAsia="zh-CN" w:bidi="ar-SA"/>
        </w:rPr>
        <w:t>22、开标</w:t>
      </w:r>
      <w:bookmarkEnd w:id="127"/>
      <w:bookmarkEnd w:id="128"/>
      <w:bookmarkEnd w:id="129"/>
    </w:p>
    <w:p w14:paraId="09B53F5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22.1 交易中心将在招标公告中规定的时间和地点组织公开开标。投标人应当按照《操作手册》规定，参加开标活动和在苏采云系统规定的时间内对投标文件进行解密。</w:t>
      </w:r>
    </w:p>
    <w:p w14:paraId="6F1FA8C8">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22.2开标仪式由交易中心组织。苏采云系统将自动对项目进行开标，并宣布各投标人名称和投标价格。</w:t>
      </w:r>
    </w:p>
    <w:p w14:paraId="57469D8E">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22.3投标人在开标过程中涉及到的投标文件解密、开标结果确认等工作，应按照《操作手册》规定执行。</w:t>
      </w:r>
    </w:p>
    <w:p w14:paraId="37C541B1">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22.4投标人如果对开标过程和开标记录有疑义，应当根据《操作手册》规定提出，如 苏采云系统中《开标记录表》宣布后5分钟内未提出的，视同认可开标结果。</w:t>
      </w:r>
    </w:p>
    <w:p w14:paraId="58E1EAF2">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bookmarkStart w:id="130" w:name="_Toc513029231"/>
      <w:bookmarkStart w:id="131" w:name="_Toc16938547"/>
      <w:bookmarkStart w:id="132" w:name="_Toc20823303"/>
      <w:r>
        <w:rPr>
          <w:rFonts w:hint="eastAsia" w:ascii="宋体" w:hAnsi="宋体" w:eastAsia="宋体" w:cs="宋体"/>
          <w:color w:val="auto"/>
          <w:kern w:val="0"/>
          <w:sz w:val="24"/>
          <w:szCs w:val="24"/>
          <w:highlight w:val="none"/>
          <w:lang w:val="en-US" w:eastAsia="zh-CN" w:bidi="ar-SA"/>
        </w:rPr>
        <w:t>23、评标委员会</w:t>
      </w:r>
      <w:bookmarkEnd w:id="130"/>
      <w:bookmarkEnd w:id="131"/>
      <w:bookmarkEnd w:id="132"/>
    </w:p>
    <w:p w14:paraId="3A81DF07">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23.1</w:t>
      </w:r>
      <w:r>
        <w:rPr>
          <w:rFonts w:hint="eastAsia" w:ascii="宋体" w:hAnsi="宋体" w:eastAsia="宋体" w:cs="宋体"/>
          <w:b/>
          <w:color w:val="auto"/>
          <w:kern w:val="0"/>
          <w:sz w:val="24"/>
          <w:szCs w:val="24"/>
          <w:highlight w:val="none"/>
          <w:lang w:val="en-US" w:eastAsia="zh-CN" w:bidi="ar-SA"/>
        </w:rPr>
        <w:t> </w:t>
      </w:r>
      <w:r>
        <w:rPr>
          <w:rFonts w:hint="eastAsia" w:ascii="宋体" w:hAnsi="宋体" w:eastAsia="宋体" w:cs="宋体"/>
          <w:color w:val="auto"/>
          <w:kern w:val="0"/>
          <w:sz w:val="24"/>
          <w:szCs w:val="24"/>
          <w:highlight w:val="none"/>
          <w:lang w:val="en-US" w:eastAsia="zh-CN" w:bidi="ar-SA"/>
        </w:rPr>
        <w:t>开标后，交易中心将立即组织评标委员会（以下简称评委会）进行评标。</w:t>
      </w:r>
    </w:p>
    <w:p w14:paraId="28485BD0">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23.2 评委会由采购人代表和有关技术、经济等方面的专家组成，且人员构成符合政府采购有关规定。</w:t>
      </w:r>
    </w:p>
    <w:p w14:paraId="51E2D4E3">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23.3评委会独立工作，负责评审所有投标文件并确定中标候选人。</w:t>
      </w:r>
    </w:p>
    <w:p w14:paraId="2A3F73EE">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24．评标过程的保密与公正</w:t>
      </w:r>
    </w:p>
    <w:p w14:paraId="69AB217A">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24.1凡是与审查、澄清、评价和比较投标的有关资料以及授标建议等，采购人、评委、交易中心均不得向投标人或与评标无关的其他人员透露。</w:t>
      </w:r>
    </w:p>
    <w:p w14:paraId="4C3B4487">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24.2在评标过程中，投标人不得以任何行为影响评标过程，否则其投标文件将被作为无效投标文件。</w:t>
      </w:r>
    </w:p>
    <w:p w14:paraId="36CEA843">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24.3 交易中心和评标委员会不向未中标的投标人解释未中标原因，也不公布评标过程中的相关细节。</w:t>
      </w:r>
    </w:p>
    <w:p w14:paraId="6B88B0AE">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24.4 采用综合评分法的项目，未中标的投标人可于中标结果公告期限届满之日起通过苏采云系统查看自己的评审得分及排序情况。</w:t>
      </w:r>
    </w:p>
    <w:p w14:paraId="7A360E34">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bookmarkStart w:id="133" w:name="_Toc513029232"/>
      <w:bookmarkStart w:id="134" w:name="_Toc16938548"/>
      <w:bookmarkStart w:id="135" w:name="_Toc20823304"/>
      <w:r>
        <w:rPr>
          <w:rFonts w:hint="eastAsia" w:ascii="宋体" w:hAnsi="宋体" w:eastAsia="宋体" w:cs="宋体"/>
          <w:color w:val="auto"/>
          <w:kern w:val="0"/>
          <w:sz w:val="24"/>
          <w:szCs w:val="24"/>
          <w:highlight w:val="none"/>
          <w:lang w:val="en-US" w:eastAsia="zh-CN" w:bidi="ar-SA"/>
        </w:rPr>
        <w:t>25．投标文件的澄清</w:t>
      </w:r>
      <w:bookmarkEnd w:id="133"/>
      <w:bookmarkEnd w:id="134"/>
      <w:bookmarkEnd w:id="135"/>
    </w:p>
    <w:p w14:paraId="518FE997">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bookmarkStart w:id="136" w:name="_Toc20823305"/>
      <w:bookmarkStart w:id="137" w:name="_Toc513029233"/>
      <w:bookmarkStart w:id="138" w:name="_Toc16938549"/>
      <w:r>
        <w:rPr>
          <w:rFonts w:hint="eastAsia" w:ascii="宋体" w:hAnsi="宋体" w:eastAsia="宋体" w:cs="宋体"/>
          <w:color w:val="auto"/>
          <w:kern w:val="0"/>
          <w:sz w:val="24"/>
          <w:szCs w:val="24"/>
          <w:highlight w:val="none"/>
          <w:lang w:val="en-US" w:eastAsia="zh-CN" w:bidi="ar-SA"/>
        </w:rPr>
        <w:t>25.1评标期间，评委会对投标文件中含义不明确、同类问题表述不一致或者有明显文字和计算错误的内容，有权要求投标人作出必要的澄清、说明或者补正。</w:t>
      </w:r>
      <w:bookmarkEnd w:id="136"/>
      <w:bookmarkEnd w:id="137"/>
      <w:bookmarkEnd w:id="138"/>
    </w:p>
    <w:p w14:paraId="4251E80D">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投标人的澄清、说明或者补正不得超出投标文件的范围或者改变投标文件的实质性内容。</w:t>
      </w:r>
    </w:p>
    <w:p w14:paraId="6897B711">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评标委员会并非对每个投标人都做澄清要求。</w:t>
      </w:r>
    </w:p>
    <w:p w14:paraId="4C8A0777">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98575E9">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25.3 接到评委会澄清、说明和补正要求的投标人如未按规定作出澄清、说明和补正，其风险由投标人自行承担。</w:t>
      </w:r>
    </w:p>
    <w:p w14:paraId="1912575A">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26、对投标文件的初审</w:t>
      </w:r>
    </w:p>
    <w:p w14:paraId="50075BAC">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26.1投标文件初审分为资格审查和符合性审查。</w:t>
      </w:r>
    </w:p>
    <w:p w14:paraId="56905E99">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26.1.1 资格审查：依据法律法规和招标文件的规定，由采购人对投标文件中的资格证明文件进行审查。资格审查的结论，采购人以书面形式向评委会进行反馈。</w:t>
      </w:r>
    </w:p>
    <w:p w14:paraId="45C4FFC8">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采购人在进行资格性审查的同时，将在“信用中国”网站（www.creditchina.gov.cn）查询投标人的信用记录，以确定投标人是否具备投标资格,查询结果留存并归档。</w:t>
      </w:r>
    </w:p>
    <w:p w14:paraId="71BC36BC">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接受联合体的项目，两个以上的自然人、法人或者其他组织组成一个联合体，以一个供应商的身份共同参加政府采购活动的,联合体成员中任何一方存在不良信用记录的，视同联合体存在不良应用记录。</w:t>
      </w:r>
    </w:p>
    <w:p w14:paraId="12106543">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26.1.2 符合性审查：依据招标文件的规定，由评委会从投标文件的有效性、完整性和对招标文件的响应程度进行审查，以确定是否对招标文件的实质性要求作出响应。</w:t>
      </w:r>
    </w:p>
    <w:p w14:paraId="7AF371D9">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26.1.3 未通过资格审查或符合性审查的投标人，交易中心将在苏采云系统中告知未通过资格审查或符合性审查的原因，评审结束后，交易中心将不再告知未通过资格审查或符合性审查的原因。</w:t>
      </w:r>
    </w:p>
    <w:p w14:paraId="2CBF45EF">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26.2在详细评标之前，评委会将首先审查每份投标文件是否实质性响应了招标文件的要求。实质性响应的投标应该是与招标文件要求的全部条款、条件和规格相符，没有重大偏离或保留的投标。</w:t>
      </w:r>
    </w:p>
    <w:p w14:paraId="51EB3CA0">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7EF4867">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26.3如果投标文件实质上没有响应招标文件的要求，评委会将予以拒绝，投标人不得通过修改或撤销不符合要求的偏离或保留而使其投标成为实质性响应的投标。</w:t>
      </w:r>
    </w:p>
    <w:p w14:paraId="251CC29B">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26.4评委会将对确定为实质性响应的投标进行进一步审核，看其是否有计算上或累加上的算术错误，修正错误的原则如下：</w:t>
      </w:r>
    </w:p>
    <w:p w14:paraId="6279A7DE">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（1）投标文件中开标一览表内容与投标文件中相应内容不一致的，以开标一览表为准。</w:t>
      </w:r>
    </w:p>
    <w:p w14:paraId="43D05FD8">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（2）大写金额和小写金额不一致的，以大写金额为准。</w:t>
      </w:r>
    </w:p>
    <w:p w14:paraId="0FF81280">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（3）单价金额小数点或者百分比有明显错位的，以开标一览表的总价为准，并修改单价。</w:t>
      </w:r>
    </w:p>
    <w:p w14:paraId="3C281CA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（4）总价金额与按单价汇总金额不一致的，以单价金额计算结果为准。</w:t>
      </w:r>
    </w:p>
    <w:p w14:paraId="2B33B4A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同时出现两种以上错误的，按照前款规定的顺序修正。</w:t>
      </w:r>
    </w:p>
    <w:p w14:paraId="376C0D64">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26.5评委会将按上述修正错误的方法调整投标文件中的投标报价，并通过苏采云系统告知投标人，调整后的价格应对投标人具有约束力。如果投标人不接受修正后的价格，则其投标将被拒绝。</w:t>
      </w:r>
    </w:p>
    <w:p w14:paraId="6B1D8CBF">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bookmarkStart w:id="139" w:name="_Toc16938550"/>
      <w:bookmarkStart w:id="140" w:name="_Toc20823306"/>
      <w:bookmarkStart w:id="141" w:name="_Toc513029234"/>
      <w:r>
        <w:rPr>
          <w:rFonts w:hint="eastAsia" w:ascii="宋体" w:hAnsi="宋体" w:eastAsia="宋体" w:cs="宋体"/>
          <w:color w:val="auto"/>
          <w:kern w:val="0"/>
          <w:sz w:val="24"/>
          <w:szCs w:val="24"/>
          <w:highlight w:val="none"/>
          <w:lang w:val="en-US" w:eastAsia="zh-CN" w:bidi="ar-SA"/>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bookmarkEnd w:id="140"/>
      <w:bookmarkEnd w:id="141"/>
    </w:p>
    <w:p w14:paraId="456BE54E">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6123D0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非单一产品采购项目，招标文件中将载明其中的核心产品。多家投标人提供的核心产品品牌相同的，按前两款规定处理。</w:t>
      </w:r>
    </w:p>
    <w:p w14:paraId="695D4A02">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26.7投标人在开、评标全过程中应保持通信畅通，及时登录苏采云系统查阅、答复相关信息，并安排专人与交易中心及评标委员会联系。</w:t>
      </w:r>
    </w:p>
    <w:p w14:paraId="6258925A">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27、无效投标条款和废标条款</w:t>
      </w:r>
    </w:p>
    <w:p w14:paraId="6F72D55E">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bookmarkStart w:id="142" w:name="_Toc20823307"/>
      <w:bookmarkStart w:id="143" w:name="_Toc513029235"/>
      <w:bookmarkStart w:id="144" w:name="_Toc16938551"/>
      <w:r>
        <w:rPr>
          <w:rFonts w:hint="eastAsia" w:ascii="宋体" w:hAnsi="宋体" w:eastAsia="宋体" w:cs="宋体"/>
          <w:color w:val="auto"/>
          <w:kern w:val="0"/>
          <w:sz w:val="24"/>
          <w:szCs w:val="24"/>
          <w:highlight w:val="none"/>
          <w:lang w:val="en-US" w:eastAsia="zh-CN" w:bidi="ar-SA"/>
        </w:rPr>
        <w:t>27.1无效投标条款</w:t>
      </w:r>
      <w:bookmarkEnd w:id="142"/>
      <w:bookmarkEnd w:id="143"/>
      <w:bookmarkEnd w:id="144"/>
    </w:p>
    <w:p w14:paraId="199C480E">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27.1.1 投标人在苏采云系统规定的时间内未成功解密电子投标文件的。</w:t>
      </w:r>
    </w:p>
    <w:p w14:paraId="1EC94C00">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27.1.2 投标人未按照招标文件要求上传电子投标文件的。</w:t>
      </w:r>
    </w:p>
    <w:p w14:paraId="51A8645C">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27.1.3同一投标人提交两个（含两个）以上不同的投标报价的。</w:t>
      </w:r>
    </w:p>
    <w:p w14:paraId="50627D9E">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27.1.4投标人不具备招标文件中规定资格要求的。</w:t>
      </w:r>
    </w:p>
    <w:p w14:paraId="6818F182">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27.1.5投标人的报价超过了采购预算或最高限价的。</w:t>
      </w:r>
    </w:p>
    <w:p w14:paraId="30986556">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27.1.6未通过符合性审查的。</w:t>
      </w:r>
    </w:p>
    <w:p w14:paraId="4CB47D8D">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27.1.7不符合招标文件中规定的实质性要求和条件的</w:t>
      </w:r>
      <w:r>
        <w:rPr>
          <w:rFonts w:hint="eastAsia" w:ascii="宋体" w:hAnsi="宋体" w:eastAsia="宋体" w:cs="宋体"/>
          <w:i w:val="0"/>
          <w:iCs w:val="0"/>
          <w:color w:val="auto"/>
          <w:kern w:val="0"/>
          <w:sz w:val="24"/>
          <w:szCs w:val="24"/>
          <w:highlight w:val="none"/>
          <w:u w:val="none"/>
          <w:lang w:val="en-US" w:eastAsia="zh-CN" w:bidi="ar-SA"/>
        </w:rPr>
        <w:t>。</w:t>
      </w:r>
    </w:p>
    <w:p w14:paraId="347ECC01">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7C93C1F">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27.1.9投标文件含有采购人不能接受的附加条件的。</w:t>
      </w:r>
    </w:p>
    <w:p w14:paraId="30278C46">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27.1.10投标人不能证明其报价合理性的，评标委员会应当将其作为无效投标处理。</w:t>
      </w:r>
    </w:p>
    <w:p w14:paraId="6F27A046">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（一）评审过程中出现下列情形之一的，评标委员会应当启动异常低价投标审查程序：</w:t>
      </w:r>
    </w:p>
    <w:p w14:paraId="07D8563E">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1.投标报价低于采购项目预算50%的，即投标报价&lt;采购项目预算×50%；</w:t>
      </w:r>
    </w:p>
    <w:p w14:paraId="504B0719">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2.投标报价低于采购项目最高限价45%的，即投标报价&lt;采购项目最高限价×45%；</w:t>
      </w:r>
    </w:p>
    <w:p w14:paraId="05605E0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3.评标委员会认定的供应商报价过低、有可能影响产品质量或者不能诚信履约的其他情形。</w:t>
      </w:r>
    </w:p>
    <w:p w14:paraId="0DC8FFE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19E548C1">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88A3437">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27.1.12 投标文件未按照招标文件要求加盖CA电子公章的。</w:t>
      </w:r>
    </w:p>
    <w:p w14:paraId="69A8EFFA">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27.1.13其他法律、法规及本招标文件规定的属无效投标的情形。</w:t>
      </w:r>
    </w:p>
    <w:p w14:paraId="007CE7C7">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27.2废标条款</w:t>
      </w:r>
    </w:p>
    <w:p w14:paraId="624DEA76">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27.2.1符合专业条件的供应商或者对招标文件作实质响应的供应商不足三家的。27.2.2出现影响采购公正的违法、违规行为的。</w:t>
      </w:r>
    </w:p>
    <w:p w14:paraId="2E50E73F">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27.2.3因重大变故，采购任务取消的。</w:t>
      </w:r>
    </w:p>
    <w:p w14:paraId="37387DC1">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27.2.4评标委员会认定招标文件存在歧义、重大缺陷导致评审工作无法进行。</w:t>
      </w:r>
    </w:p>
    <w:p w14:paraId="604228ED">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27.2.5 因苏采云系统故障原因造成开标不成功的。</w:t>
      </w:r>
    </w:p>
    <w:p w14:paraId="2AFF2B5B">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27.3 投标截止时间结束后参加投标的供应商不足三家的处理：</w:t>
      </w:r>
    </w:p>
    <w:p w14:paraId="4AAF87CB">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27.3.1如出现投标截止时间结束后参加投标的供应商或者在评标期间对招标文件做出实质响应的供应商不足三家情况，按政府采购相关规定执行。</w:t>
      </w:r>
    </w:p>
    <w:p w14:paraId="13BE58D4">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2" w:firstLineChars="200"/>
        <w:jc w:val="left"/>
        <w:textAlignment w:val="auto"/>
        <w:rPr>
          <w:rFonts w:hint="eastAsia" w:ascii="宋体" w:hAnsi="宋体" w:eastAsia="宋体" w:cs="宋体"/>
          <w:color w:val="auto"/>
          <w:kern w:val="0"/>
          <w:sz w:val="24"/>
          <w:szCs w:val="24"/>
          <w:highlight w:val="none"/>
          <w:lang w:val="en-US" w:eastAsia="zh-CN" w:bidi="ar-SA"/>
        </w:rPr>
      </w:pPr>
      <w:bookmarkStart w:id="145" w:name="_Toc120614219"/>
      <w:r>
        <w:rPr>
          <w:rFonts w:hint="eastAsia" w:ascii="宋体" w:hAnsi="宋体" w:eastAsia="宋体" w:cs="宋体"/>
          <w:b/>
          <w:color w:val="auto"/>
          <w:kern w:val="0"/>
          <w:sz w:val="24"/>
          <w:szCs w:val="24"/>
          <w:highlight w:val="none"/>
          <w:lang w:val="en-US" w:eastAsia="zh-CN" w:bidi="ar-SA"/>
        </w:rPr>
        <w:t>六、定标</w:t>
      </w:r>
      <w:bookmarkEnd w:id="145"/>
    </w:p>
    <w:p w14:paraId="6CF15D84">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bookmarkStart w:id="146" w:name="_Toc20823310"/>
      <w:bookmarkStart w:id="147" w:name="_Toc513029238"/>
      <w:bookmarkStart w:id="148" w:name="_Toc16938554"/>
      <w:r>
        <w:rPr>
          <w:rFonts w:hint="eastAsia" w:ascii="宋体" w:hAnsi="宋体" w:eastAsia="宋体" w:cs="宋体"/>
          <w:color w:val="auto"/>
          <w:kern w:val="0"/>
          <w:sz w:val="24"/>
          <w:szCs w:val="24"/>
          <w:highlight w:val="none"/>
          <w:lang w:val="en-US" w:eastAsia="zh-CN" w:bidi="ar-SA"/>
        </w:rPr>
        <w:t>28、</w:t>
      </w:r>
      <w:bookmarkEnd w:id="146"/>
      <w:r>
        <w:rPr>
          <w:rFonts w:hint="eastAsia" w:ascii="宋体" w:hAnsi="宋体" w:eastAsia="宋体" w:cs="宋体"/>
          <w:color w:val="auto"/>
          <w:kern w:val="0"/>
          <w:sz w:val="24"/>
          <w:szCs w:val="24"/>
          <w:highlight w:val="none"/>
          <w:lang w:val="en-US" w:eastAsia="zh-CN" w:bidi="ar-SA"/>
        </w:rPr>
        <w:t>确定</w:t>
      </w:r>
      <w:bookmarkEnd w:id="147"/>
      <w:bookmarkEnd w:id="148"/>
      <w:r>
        <w:rPr>
          <w:rFonts w:hint="eastAsia" w:ascii="宋体" w:hAnsi="宋体" w:eastAsia="宋体" w:cs="宋体"/>
          <w:color w:val="auto"/>
          <w:kern w:val="0"/>
          <w:sz w:val="24"/>
          <w:szCs w:val="24"/>
          <w:highlight w:val="none"/>
          <w:lang w:val="en-US" w:eastAsia="zh-CN" w:bidi="ar-SA"/>
        </w:rPr>
        <w:t>中标单位</w:t>
      </w:r>
    </w:p>
    <w:p w14:paraId="5EB7BA6C">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28.1中标候选人的选取原则和数量见招标文件第五章规定。 </w:t>
      </w:r>
    </w:p>
    <w:p w14:paraId="2BE6DD41">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28.2 采购人应根据评委会推荐的中标候选人确定中标人。</w:t>
      </w:r>
    </w:p>
    <w:p w14:paraId="3D004C7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28.3 交易中心将在中国政府采购网”“江苏政府采购网”“盐城市政府采购网</w:t>
      </w:r>
      <w:r>
        <w:rPr>
          <w:rFonts w:hint="eastAsia" w:ascii="宋体" w:hAnsi="宋体" w:eastAsia="宋体" w:cs="宋体"/>
          <w:i w:val="0"/>
          <w:iCs w:val="0"/>
          <w:caps w:val="0"/>
          <w:color w:val="auto"/>
          <w:spacing w:val="0"/>
          <w:kern w:val="0"/>
          <w:sz w:val="24"/>
          <w:szCs w:val="24"/>
          <w:highlight w:val="none"/>
          <w:shd w:val="clear" w:fill="FFFFFF"/>
          <w:lang w:val="en-US" w:eastAsia="zh-CN" w:bidi="ar-SA"/>
        </w:rPr>
        <w:t>”</w:t>
      </w:r>
      <w:r>
        <w:rPr>
          <w:rFonts w:hint="eastAsia" w:ascii="宋体" w:hAnsi="宋体" w:eastAsia="宋体" w:cs="宋体"/>
          <w:color w:val="auto"/>
          <w:kern w:val="0"/>
          <w:sz w:val="24"/>
          <w:szCs w:val="24"/>
          <w:highlight w:val="none"/>
          <w:lang w:val="en-US" w:eastAsia="zh-CN" w:bidi="ar-SA"/>
        </w:rPr>
        <w:t>发布中标公告，公告期限为1个工作日。</w:t>
      </w:r>
    </w:p>
    <w:p w14:paraId="386E0C9B">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28.4 若有充分证据证明，中标人出现下列情况之一的，一经查实，将被取消中标资格：</w:t>
      </w:r>
    </w:p>
    <w:p w14:paraId="0BCD3E74">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28.4.1提供虚假材料谋取中标的。</w:t>
      </w:r>
    </w:p>
    <w:p w14:paraId="13E8AC6A">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28.4.2向采购人、交易中心行贿或者提供其他不正当利益的。</w:t>
      </w:r>
    </w:p>
    <w:p w14:paraId="734172C8">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28.4.3属于本文件规定的无效条件，但在评标过程中又未被评委会发现的。</w:t>
      </w:r>
    </w:p>
    <w:p w14:paraId="2D18E97D">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28.4.4与采购人或者其他供应商恶意串通的。</w:t>
      </w:r>
    </w:p>
    <w:p w14:paraId="6B4A574C">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28.4.5采取不正当手段诋毁、排挤其他供应商的。</w:t>
      </w:r>
    </w:p>
    <w:p w14:paraId="3FFAA27C">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bookmarkStart w:id="149" w:name="_Toc200451960"/>
      <w:r>
        <w:rPr>
          <w:rFonts w:hint="eastAsia" w:ascii="宋体" w:hAnsi="宋体" w:eastAsia="宋体" w:cs="宋体"/>
          <w:color w:val="auto"/>
          <w:kern w:val="0"/>
          <w:sz w:val="24"/>
          <w:szCs w:val="24"/>
          <w:highlight w:val="none"/>
          <w:lang w:val="en-US" w:eastAsia="zh-CN" w:bidi="ar-SA"/>
        </w:rPr>
        <w:t>28.5 有下列情形之一的，视为投标人串通投标，投标无效：</w:t>
      </w:r>
      <w:bookmarkEnd w:id="149"/>
    </w:p>
    <w:p w14:paraId="17D0A977">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28.5.1不同投标人的投标文件由同一单位或者个人编制；</w:t>
      </w:r>
    </w:p>
    <w:p w14:paraId="25879A9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28.5.2不同投标人委托同一单位或者个人办理投标事宜；</w:t>
      </w:r>
    </w:p>
    <w:p w14:paraId="35059A68">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28.5.3 不同投标人的投标文件载明的项目管理成员或者联系人员为同一人；</w:t>
      </w:r>
    </w:p>
    <w:p w14:paraId="16134A48">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28.5.4不同投标人的投标文件异常一致或者投标报价呈规律性差异；</w:t>
      </w:r>
    </w:p>
    <w:p w14:paraId="72D577B2">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29、质疑处理</w:t>
      </w:r>
    </w:p>
    <w:p w14:paraId="59C4C9EB">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29.1 提出质疑的供应商应当是参与所质疑项目采购活动的供应商。潜在供应商依法获取其可质疑的采购文件的，可以对采购文件提出质疑。</w:t>
      </w:r>
    </w:p>
    <w:p w14:paraId="5664335E">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p>
    <w:p w14:paraId="65F1891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29.2.1对可以质疑的采购文件提出质疑的，为收到采购文件之日或者采购文件公告期限届满之日；</w:t>
      </w:r>
    </w:p>
    <w:p w14:paraId="51C446E3">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29.2.2对采购过程提出质疑的，为各采购程序环节结束之日；</w:t>
      </w:r>
    </w:p>
    <w:p w14:paraId="2C6A5E0C">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29.2.3对中标或者成交结果提出质疑的，为中标或者成交结果公告期限届满之日。</w:t>
      </w:r>
    </w:p>
    <w:p w14:paraId="1C1F729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供应商应当在法定质疑期内一次性提出针对同一采购程序环节的质疑。供应商如在法定期限内对同一采购程序环节提出多次质疑的，交易中心、采购人将只对供应商第一次质疑作出答复。</w:t>
      </w:r>
    </w:p>
    <w:p w14:paraId="5CF65371">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29.3质疑函必须按照本招标文件中《质疑函范本》要求的格式和内容进行填写。供应商如组成联合体参加投标，则《质疑函范本》中要求签字、盖章、加盖公章之处，联合体各方均须按要求签字、盖章、加盖公章。</w:t>
      </w:r>
    </w:p>
    <w:p w14:paraId="590D0DA1">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29.4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p>
    <w:p w14:paraId="296C6A69">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采购人及采购中心只接收以纸质原件形式送达的质疑,采购人和采购中心不接受未填写快递运单的快件。质疑接收部门为盐城市大丰区公共资源交易中心业务受理处。</w:t>
      </w:r>
    </w:p>
    <w:p w14:paraId="071C5D74">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29.5 以下情形的质疑不予受理</w:t>
      </w:r>
    </w:p>
    <w:p w14:paraId="7F914B5E">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29.5.1 内容不符合《政府采购质疑和投诉办法》第十二条规定的质疑。</w:t>
      </w:r>
    </w:p>
    <w:p w14:paraId="5117AD53">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29.5.2 超出政府采购法定期限的质疑。</w:t>
      </w:r>
    </w:p>
    <w:p w14:paraId="26178371">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29.5.3 以传真、电子邮件等方式递交的非原件形式的质疑。</w:t>
      </w:r>
    </w:p>
    <w:p w14:paraId="276C3DD6">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29.5.4 未参加投标活动的供应商或在投标活动中自身权益未受到损害的供应商所提出的质疑。</w:t>
      </w:r>
    </w:p>
    <w:p w14:paraId="295142B9">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29.5.5供应商组成联合体参加投标，联合体中任何一方或多方未按要求签字、盖章、加盖公章的质疑。</w:t>
      </w:r>
    </w:p>
    <w:p w14:paraId="0E6878F6">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0DF24AE6">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30、中标通知书</w:t>
      </w:r>
    </w:p>
    <w:p w14:paraId="4F0DFD43">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30.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605D1C0">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30.2中标通知书将是合同的一个组成部分。对采购人和中标供应商均具有法律效力。中标通知书发出后，采购人改变中标结果的，或者中标供应商放弃中标项目的，应当依法承担法律责任。</w:t>
      </w:r>
    </w:p>
    <w:p w14:paraId="5ED6DDAB">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2" w:firstLineChars="200"/>
        <w:jc w:val="left"/>
        <w:textAlignment w:val="auto"/>
        <w:rPr>
          <w:rFonts w:hint="eastAsia" w:ascii="宋体" w:hAnsi="宋体" w:eastAsia="宋体" w:cs="宋体"/>
          <w:color w:val="auto"/>
          <w:kern w:val="0"/>
          <w:sz w:val="24"/>
          <w:szCs w:val="24"/>
          <w:highlight w:val="none"/>
          <w:lang w:val="en-US" w:eastAsia="zh-CN" w:bidi="ar-SA"/>
        </w:rPr>
      </w:pPr>
      <w:bookmarkStart w:id="150" w:name="_Toc120614220"/>
      <w:bookmarkStart w:id="151" w:name="_Toc16938552"/>
      <w:bookmarkStart w:id="152" w:name="_Toc20823308"/>
      <w:bookmarkStart w:id="153" w:name="_Toc513029236"/>
      <w:r>
        <w:rPr>
          <w:rFonts w:hint="eastAsia" w:ascii="宋体" w:hAnsi="宋体" w:eastAsia="宋体" w:cs="宋体"/>
          <w:b/>
          <w:color w:val="auto"/>
          <w:kern w:val="0"/>
          <w:sz w:val="24"/>
          <w:szCs w:val="24"/>
          <w:highlight w:val="none"/>
          <w:lang w:val="en-US" w:eastAsia="zh-CN" w:bidi="ar-SA"/>
        </w:rPr>
        <w:t>七、授予合同</w:t>
      </w:r>
      <w:bookmarkEnd w:id="150"/>
      <w:bookmarkEnd w:id="151"/>
      <w:bookmarkEnd w:id="152"/>
      <w:bookmarkEnd w:id="153"/>
    </w:p>
    <w:p w14:paraId="3FD53760">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bookmarkStart w:id="154" w:name="_Toc20823309"/>
      <w:bookmarkStart w:id="155" w:name="_Toc16938553"/>
      <w:bookmarkStart w:id="156" w:name="_Toc513029237"/>
      <w:r>
        <w:rPr>
          <w:rFonts w:hint="eastAsia" w:ascii="宋体" w:hAnsi="宋体" w:eastAsia="宋体" w:cs="宋体"/>
          <w:color w:val="auto"/>
          <w:kern w:val="0"/>
          <w:sz w:val="24"/>
          <w:szCs w:val="24"/>
          <w:highlight w:val="none"/>
          <w:lang w:val="en-US" w:eastAsia="zh-CN" w:bidi="ar-SA"/>
        </w:rPr>
        <w:t>31、签订合同</w:t>
      </w:r>
      <w:bookmarkEnd w:id="154"/>
      <w:bookmarkEnd w:id="155"/>
      <w:bookmarkEnd w:id="156"/>
    </w:p>
    <w:p w14:paraId="3B519A32">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31.l中标人应当在中标通知书发出之日起三十日内，按照招标文件确定的事项与采购人签订政府采购合同。</w:t>
      </w:r>
    </w:p>
    <w:p w14:paraId="47C5C3E9">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31.2招标文件、中标人的投标文件及招标过程中有关澄清、承诺文件均应作为合同附件。</w:t>
      </w:r>
    </w:p>
    <w:p w14:paraId="60EA278A">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lang w:val="en-US" w:eastAsia="zh-CN" w:bidi="ar-SA"/>
        </w:rPr>
        <w:t>31.3 签订合同后，</w:t>
      </w:r>
      <w:r>
        <w:rPr>
          <w:rFonts w:hint="eastAsia" w:ascii="宋体" w:hAnsi="宋体" w:eastAsia="宋体" w:cs="宋体"/>
          <w:i w:val="0"/>
          <w:iCs/>
          <w:color w:val="auto"/>
          <w:kern w:val="0"/>
          <w:sz w:val="24"/>
          <w:szCs w:val="24"/>
          <w:highlight w:val="none"/>
          <w:u w:val="none"/>
          <w:lang w:val="en-US" w:eastAsia="zh-CN" w:bidi="ar-SA"/>
        </w:rPr>
        <w:t>中标人不得将合同标的进行转包</w:t>
      </w:r>
      <w:r>
        <w:rPr>
          <w:rFonts w:hint="eastAsia" w:ascii="宋体" w:hAnsi="宋体" w:eastAsia="宋体" w:cs="宋体"/>
          <w:color w:val="auto"/>
          <w:kern w:val="0"/>
          <w:sz w:val="24"/>
          <w:szCs w:val="24"/>
          <w:highlight w:val="none"/>
          <w:lang w:val="en-US" w:eastAsia="zh-CN" w:bidi="ar-SA"/>
        </w:rPr>
        <w:t>。未经采购人同意，中标人也不得采用分包的形式履行合同，否则采购人有权终止合同。转包或分包造成采</w:t>
      </w:r>
      <w:r>
        <w:rPr>
          <w:rFonts w:hint="eastAsia" w:ascii="宋体" w:hAnsi="宋体" w:eastAsia="宋体" w:cs="宋体"/>
          <w:color w:val="auto"/>
          <w:kern w:val="0"/>
          <w:sz w:val="24"/>
          <w:szCs w:val="24"/>
          <w:highlight w:val="none"/>
          <w:shd w:val="clear" w:color="auto" w:fill="auto"/>
          <w:lang w:val="en-US" w:eastAsia="zh-CN" w:bidi="ar-SA"/>
        </w:rPr>
        <w:t>购人损失的，中标人应承担相应赔偿责任。</w:t>
      </w:r>
    </w:p>
    <w:p w14:paraId="7A8BD332">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32、货物（包含与货物相关的服务）的追加</w:t>
      </w:r>
    </w:p>
    <w:p w14:paraId="779FCA96">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720EEBF9">
      <w:pPr>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33、政府采购政策功能落实</w:t>
      </w:r>
    </w:p>
    <w:p w14:paraId="3EA2C724">
      <w:pPr>
        <w:keepNext/>
        <w:keepLines/>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33.1政府采购线上合同信用融资政策</w:t>
      </w:r>
    </w:p>
    <w:p w14:paraId="7831DEFD">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05A8ADEB">
      <w:pPr>
        <w:pageBreakBefore w:val="0"/>
        <w:widowControl w:val="0"/>
        <w:tabs>
          <w:tab w:val="left" w:pos="1381"/>
        </w:tabs>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33.2进口产品</w:t>
      </w:r>
    </w:p>
    <w:p w14:paraId="5E25FDB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33.3中小企业、监狱企业及残疾人福利性单位</w:t>
      </w:r>
    </w:p>
    <w:p w14:paraId="63807B9C">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.3.1中小企业定义：</w:t>
      </w:r>
    </w:p>
    <w:p w14:paraId="4C9CBD8E">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33.3.2供应商提供的货物、工程或者服务符合下列情形的，享受中小企业扶持政策：</w:t>
      </w:r>
    </w:p>
    <w:p w14:paraId="6761BEF4">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33.3.2.1在货物采购项目中，货物由中小企业制造，即货物由中小企业生产且使用该中小企业商号或者注册商标；</w:t>
      </w:r>
    </w:p>
    <w:p w14:paraId="31163D4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33.3.2.2在工程采购项目中，工程由中小企业承建，即工程施工单位为中小企业；</w:t>
      </w:r>
    </w:p>
    <w:p w14:paraId="4DFC19BD">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33.3.2.3在服务采购项目中，服务由中小企业承接，即提供服务的人员为中小企业依照《中华人民共和国劳动合同法》订立劳动合同的从业人员。</w:t>
      </w:r>
    </w:p>
    <w:p w14:paraId="3EA95C77">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33.3.3在货物采购项目中，供应商提供的货物既有中小企业制造货物，也有大型企业制造货物的，不享受中小企业扶持政策。</w:t>
      </w:r>
    </w:p>
    <w:p w14:paraId="18C13D1A">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33.3.4以联合体形式参加政府采购活动，联合体各方均为中小企业的，联合体视同中小企业。其中，联合体各方均为小微企业的，联合体视同小微企业。</w:t>
      </w:r>
    </w:p>
    <w:p w14:paraId="34D8F3DF">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33.3.6残疾人福利单位定义：享受政府采购支持政策的残疾人福利性单位应当同时满足以下条件：</w:t>
      </w:r>
    </w:p>
    <w:p w14:paraId="2C10A4F6">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33.3.6.1安置的残疾人占本单位在职职工人数的比例不低于25%（含25%），并且安置的残疾人人数不少于10 人（含10 人）；</w:t>
      </w:r>
    </w:p>
    <w:p w14:paraId="273AB3B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33.3.6.2依法与安置的每位残疾人签订了一年以上（含一年）的劳动合同或服务协议；</w:t>
      </w:r>
    </w:p>
    <w:p w14:paraId="25054FF3">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33.3.6.3为安置的每位残疾人按月足额缴纳了基本养老保险、基本医疗保险、失业保险、工伤保险和生育保险等社会保险费；</w:t>
      </w:r>
    </w:p>
    <w:p w14:paraId="2B08B5C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33.3.6.4通过银行等金融机构向安置的每位残疾人，按月支付了不低于单位所在区县适用的经省级人民政府批准的月最低工资标准的工资；</w:t>
      </w:r>
    </w:p>
    <w:p w14:paraId="20CB233D">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33.3.6.5提供本单位制造的货物、承担的工程或者服务（以下简称产品），或者提供其他残疾人福利性单位制造的货物（不包括使用非残疾人福利性单位注册商标的货物）；</w:t>
      </w:r>
    </w:p>
    <w:p w14:paraId="3B85C34B">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33.3.7本项目是否专门面向中小企业预留采购份额见第一章《招标公告》。</w:t>
      </w:r>
    </w:p>
    <w:p w14:paraId="66321B5E">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33.3.8采购标的对应的中小企业划分标准所属行业见第四章《采购需求》。</w:t>
      </w:r>
    </w:p>
    <w:p w14:paraId="3CD37815">
      <w:pPr>
        <w:pageBreakBefore w:val="0"/>
        <w:widowControl w:val="0"/>
        <w:kinsoku/>
        <w:wordWrap/>
        <w:overflowPunct/>
        <w:topLinePunct w:val="0"/>
        <w:autoSpaceDE/>
        <w:autoSpaceDN/>
        <w:bidi w:val="0"/>
        <w:adjustRightInd/>
        <w:snapToGrid/>
        <w:spacing w:before="0" w:beforeAutospacing="0" w:after="0" w:afterAutospacing="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33.3.9小微企业价格评审优惠的政策：见第五章《评标方法和评标标准》。</w:t>
      </w:r>
    </w:p>
    <w:p w14:paraId="24130294">
      <w:pPr>
        <w:pageBreakBefore w:val="0"/>
        <w:widowControl w:val="0"/>
        <w:tabs>
          <w:tab w:val="left" w:pos="1381"/>
        </w:tabs>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33.4政府采购节能产品、环境标志产品</w:t>
      </w:r>
    </w:p>
    <w:p w14:paraId="56196F77">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2"/>
          <w:sz w:val="24"/>
          <w:szCs w:val="24"/>
          <w:highlight w:val="none"/>
        </w:rPr>
        <w:t>3</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.4.1</w:t>
      </w:r>
      <w:r>
        <w:rPr>
          <w:rFonts w:hint="eastAsia" w:ascii="宋体" w:hAnsi="宋体" w:eastAsia="宋体" w:cs="宋体"/>
          <w:color w:val="auto"/>
          <w:kern w:val="0"/>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val="0"/>
          <w:iCs/>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i w:val="0"/>
          <w:iCs/>
          <w:color w:val="auto"/>
          <w:kern w:val="0"/>
          <w:sz w:val="24"/>
          <w:szCs w:val="24"/>
          <w:highlight w:val="none"/>
        </w:rPr>
        <w:t>。</w:t>
      </w:r>
      <w:r>
        <w:rPr>
          <w:rFonts w:hint="eastAsia" w:ascii="宋体" w:hAnsi="宋体" w:eastAsia="宋体" w:cs="宋体"/>
          <w:color w:val="auto"/>
          <w:kern w:val="0"/>
          <w:sz w:val="24"/>
          <w:szCs w:val="24"/>
          <w:highlight w:val="none"/>
        </w:rPr>
        <w:t>其他条件相同情况下，应当优先采购节能产品、环境标志产品。</w:t>
      </w:r>
    </w:p>
    <w:p w14:paraId="3644E8D9">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2"/>
          <w:sz w:val="24"/>
          <w:szCs w:val="24"/>
          <w:highlight w:val="none"/>
        </w:rPr>
        <w:t>3</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.4.2</w:t>
      </w:r>
      <w:r>
        <w:rPr>
          <w:rFonts w:hint="eastAsia" w:ascii="宋体" w:hAnsi="宋体" w:eastAsia="宋体" w:cs="宋体"/>
          <w:color w:val="auto"/>
          <w:kern w:val="0"/>
          <w:sz w:val="24"/>
          <w:szCs w:val="24"/>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ageBreakBefore w:val="0"/>
        <w:widowControl w:val="0"/>
        <w:tabs>
          <w:tab w:val="left" w:pos="1381"/>
        </w:tabs>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33.5绿色包装</w:t>
      </w:r>
    </w:p>
    <w:p w14:paraId="3C828DB7">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widowControl w:val="0"/>
        <w:tabs>
          <w:tab w:val="left" w:pos="1381"/>
        </w:tabs>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33.6政府采购创新产品</w:t>
      </w:r>
    </w:p>
    <w:p w14:paraId="2D9B336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auto"/>
          <w:kern w:val="2"/>
          <w:sz w:val="24"/>
          <w:szCs w:val="24"/>
          <w:highlight w:val="none"/>
        </w:rPr>
        <w:t>。</w:t>
      </w:r>
    </w:p>
    <w:p w14:paraId="57947BB5">
      <w:pPr>
        <w:pageBreakBefore w:val="0"/>
        <w:widowControl w:val="0"/>
        <w:tabs>
          <w:tab w:val="left" w:pos="1381"/>
        </w:tabs>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33.7绿色数据中心政策 </w:t>
      </w:r>
    </w:p>
    <w:p w14:paraId="722A8D32">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34807A4">
      <w:pPr>
        <w:pageBreakBefore w:val="0"/>
        <w:widowControl w:val="0"/>
        <w:tabs>
          <w:tab w:val="left" w:pos="1381"/>
        </w:tabs>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33.8履约保证金政策</w:t>
      </w:r>
    </w:p>
    <w:p w14:paraId="40F02B3A">
      <w:pPr>
        <w:pageBreakBefore w:val="0"/>
        <w:widowControl w:val="0"/>
        <w:kinsoku/>
        <w:wordWrap/>
        <w:overflowPunct/>
        <w:topLinePunct w:val="0"/>
        <w:autoSpaceDE/>
        <w:autoSpaceDN/>
        <w:bidi w:val="0"/>
        <w:adjustRightInd/>
        <w:snapToGrid/>
        <w:spacing w:before="0" w:after="0"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确需收取履约保证金的，履约保证金的缴纳形式：</w:t>
      </w:r>
    </w:p>
    <w:p w14:paraId="5EB031AC">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如以履约保函（保险）形式缴纳履约保证金，供应商可通过政府采购电子履约保函（保险）平台（www.jsdzbh.com）在线申请履约保函（保险）。</w:t>
      </w:r>
    </w:p>
    <w:p w14:paraId="57E6C93D">
      <w:pPr>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pageBreakBefore w:val="0"/>
        <w:widowControl w:val="0"/>
        <w:tabs>
          <w:tab w:val="left" w:pos="1381"/>
        </w:tabs>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34. 预付款制度</w:t>
      </w:r>
    </w:p>
    <w:p w14:paraId="6CA0BC1B">
      <w:pPr>
        <w:pStyle w:val="31"/>
        <w:keepNext/>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SA"/>
        </w:rPr>
        <w:t>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auto"/>
          <w:highlight w:val="none"/>
          <w:lang w:val="en-US" w:eastAsia="zh-CN"/>
        </w:rPr>
        <w:t xml:space="preserve">    </w:t>
      </w:r>
    </w:p>
    <w:p w14:paraId="03BE3A75">
      <w:pPr>
        <w:pageBreakBefore w:val="0"/>
        <w:widowControl w:val="0"/>
        <w:spacing w:line="400" w:lineRule="exact"/>
        <w:ind w:firstLine="480"/>
        <w:rPr>
          <w:rFonts w:hint="eastAsia" w:ascii="宋体" w:hAnsi="宋体" w:eastAsia="宋体" w:cs="宋体"/>
          <w:color w:val="auto"/>
          <w:sz w:val="24"/>
          <w:szCs w:val="24"/>
          <w:highlight w:val="none"/>
          <w:lang w:val="en-US" w:eastAsia="zh-CN"/>
        </w:rPr>
      </w:pPr>
    </w:p>
    <w:p w14:paraId="0B88F7EB">
      <w:pPr>
        <w:pStyle w:val="31"/>
        <w:keepNext/>
        <w:keepLines/>
        <w:spacing w:beforeAutospacing="0" w:afterAutospacing="0"/>
        <w:ind w:firstLine="600"/>
        <w:jc w:val="both"/>
        <w:rPr>
          <w:rFonts w:hint="eastAsia" w:ascii="宋体" w:hAnsi="宋体" w:eastAsia="宋体" w:cs="宋体"/>
          <w:color w:val="auto"/>
          <w:sz w:val="24"/>
          <w:szCs w:val="24"/>
          <w:highlight w:val="none"/>
          <w:lang w:val="en-US" w:eastAsia="zh-CN" w:bidi="ar-SA"/>
        </w:rPr>
      </w:pPr>
    </w:p>
    <w:p w14:paraId="4AB774DC">
      <w:pPr>
        <w:pageBreakBefore w:val="0"/>
        <w:widowControl w:val="0"/>
        <w:spacing w:line="400" w:lineRule="exact"/>
        <w:ind w:firstLine="480"/>
        <w:rPr>
          <w:rFonts w:hint="eastAsia" w:ascii="宋体" w:hAnsi="宋体" w:eastAsia="宋体" w:cs="宋体"/>
          <w:color w:val="auto"/>
          <w:sz w:val="24"/>
          <w:szCs w:val="24"/>
          <w:highlight w:val="none"/>
        </w:rPr>
      </w:pPr>
    </w:p>
    <w:p w14:paraId="78F37CC9">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094A3A8">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FAC21A9">
      <w:pPr>
        <w:pStyle w:val="31"/>
        <w:spacing w:beforeAutospacing="0" w:afterAutospacing="0"/>
        <w:jc w:val="both"/>
        <w:rPr>
          <w:rFonts w:hint="eastAsia" w:ascii="宋体" w:hAnsi="宋体" w:eastAsia="宋体" w:cs="宋体"/>
          <w:color w:val="auto"/>
          <w:highlight w:val="none"/>
        </w:rPr>
      </w:pPr>
    </w:p>
    <w:p w14:paraId="33DBFAF9">
      <w:pPr>
        <w:pStyle w:val="31"/>
        <w:spacing w:beforeAutospacing="0" w:afterAutospacing="0"/>
        <w:jc w:val="both"/>
        <w:rPr>
          <w:rFonts w:hint="eastAsia" w:ascii="宋体" w:hAnsi="宋体" w:eastAsia="宋体" w:cs="宋体"/>
          <w:color w:val="auto"/>
          <w:highlight w:val="none"/>
        </w:rPr>
      </w:pPr>
    </w:p>
    <w:p w14:paraId="0ADEB3D0">
      <w:pPr>
        <w:pStyle w:val="31"/>
        <w:spacing w:beforeAutospacing="0" w:afterAutospacing="0"/>
        <w:jc w:val="both"/>
        <w:rPr>
          <w:rFonts w:hint="eastAsia" w:ascii="宋体" w:hAnsi="宋体" w:eastAsia="宋体" w:cs="宋体"/>
          <w:color w:val="auto"/>
          <w:highlight w:val="none"/>
        </w:rPr>
      </w:pPr>
    </w:p>
    <w:p w14:paraId="06530E61">
      <w:pPr>
        <w:pStyle w:val="31"/>
        <w:spacing w:beforeAutospacing="0" w:afterAutospacing="0"/>
        <w:jc w:val="both"/>
        <w:rPr>
          <w:rFonts w:hint="eastAsia" w:ascii="宋体" w:hAnsi="宋体" w:eastAsia="宋体" w:cs="宋体"/>
          <w:color w:val="auto"/>
          <w:highlight w:val="none"/>
        </w:rPr>
      </w:pPr>
    </w:p>
    <w:p w14:paraId="61A5CD09">
      <w:pPr>
        <w:pStyle w:val="31"/>
        <w:spacing w:beforeAutospacing="0" w:afterAutospacing="0"/>
        <w:jc w:val="both"/>
        <w:rPr>
          <w:rFonts w:hint="eastAsia" w:ascii="宋体" w:hAnsi="宋体" w:eastAsia="宋体" w:cs="宋体"/>
          <w:color w:val="auto"/>
          <w:highlight w:val="none"/>
        </w:rPr>
      </w:pPr>
    </w:p>
    <w:p w14:paraId="08C9F4ED">
      <w:pPr>
        <w:pStyle w:val="31"/>
        <w:spacing w:beforeAutospacing="0" w:afterAutospacing="0"/>
        <w:jc w:val="both"/>
        <w:rPr>
          <w:rFonts w:hint="eastAsia" w:ascii="宋体" w:hAnsi="宋体" w:eastAsia="宋体" w:cs="宋体"/>
          <w:color w:val="auto"/>
          <w:highlight w:val="none"/>
        </w:rPr>
      </w:pPr>
    </w:p>
    <w:p w14:paraId="58C9DF92">
      <w:pPr>
        <w:pStyle w:val="31"/>
        <w:spacing w:beforeAutospacing="0" w:afterAutospacing="0"/>
        <w:jc w:val="both"/>
        <w:rPr>
          <w:rFonts w:hint="eastAsia" w:ascii="宋体" w:hAnsi="宋体" w:eastAsia="宋体" w:cs="宋体"/>
          <w:color w:val="auto"/>
          <w:highlight w:val="none"/>
        </w:rPr>
      </w:pPr>
    </w:p>
    <w:p w14:paraId="665375B6">
      <w:pPr>
        <w:pStyle w:val="31"/>
        <w:spacing w:beforeAutospacing="0" w:afterAutospacing="0"/>
        <w:jc w:val="both"/>
        <w:rPr>
          <w:rFonts w:hint="eastAsia" w:ascii="宋体" w:hAnsi="宋体" w:eastAsia="宋体" w:cs="宋体"/>
          <w:color w:val="auto"/>
          <w:highlight w:val="none"/>
        </w:rPr>
      </w:pPr>
    </w:p>
    <w:p w14:paraId="43EB11F9">
      <w:pPr>
        <w:pStyle w:val="31"/>
        <w:spacing w:beforeAutospacing="0" w:afterAutospacing="0"/>
        <w:jc w:val="both"/>
        <w:rPr>
          <w:rFonts w:hint="eastAsia" w:ascii="宋体" w:hAnsi="宋体" w:eastAsia="宋体" w:cs="宋体"/>
          <w:color w:val="auto"/>
          <w:highlight w:val="none"/>
        </w:rPr>
      </w:pPr>
    </w:p>
    <w:p w14:paraId="642F2686">
      <w:pPr>
        <w:pStyle w:val="31"/>
        <w:spacing w:beforeAutospacing="0" w:afterAutospacing="0"/>
        <w:jc w:val="both"/>
        <w:rPr>
          <w:rFonts w:hint="eastAsia" w:ascii="宋体" w:hAnsi="宋体" w:eastAsia="宋体" w:cs="宋体"/>
          <w:color w:val="auto"/>
          <w:highlight w:val="none"/>
        </w:rPr>
      </w:pPr>
    </w:p>
    <w:p w14:paraId="2C3CA929">
      <w:pPr>
        <w:pStyle w:val="31"/>
        <w:spacing w:beforeAutospacing="0" w:afterAutospacing="0"/>
        <w:jc w:val="both"/>
        <w:rPr>
          <w:rFonts w:hint="eastAsia" w:ascii="宋体" w:hAnsi="宋体" w:eastAsia="宋体" w:cs="宋体"/>
          <w:color w:val="auto"/>
          <w:highlight w:val="none"/>
        </w:rPr>
      </w:pPr>
    </w:p>
    <w:p w14:paraId="2ADCCA28">
      <w:pPr>
        <w:pStyle w:val="31"/>
        <w:spacing w:beforeAutospacing="0" w:afterAutospacing="0"/>
        <w:jc w:val="both"/>
        <w:rPr>
          <w:rFonts w:hint="eastAsia" w:ascii="宋体" w:hAnsi="宋体" w:eastAsia="宋体" w:cs="宋体"/>
          <w:color w:val="auto"/>
          <w:highlight w:val="none"/>
        </w:rPr>
      </w:pPr>
    </w:p>
    <w:p w14:paraId="69D13885">
      <w:pPr>
        <w:pStyle w:val="31"/>
        <w:spacing w:beforeAutospacing="0" w:afterAutospacing="0"/>
        <w:jc w:val="both"/>
        <w:rPr>
          <w:rFonts w:hint="eastAsia" w:ascii="宋体" w:hAnsi="宋体" w:eastAsia="宋体" w:cs="宋体"/>
          <w:color w:val="auto"/>
          <w:highlight w:val="none"/>
        </w:rPr>
      </w:pPr>
    </w:p>
    <w:p w14:paraId="5BD341B7">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BA12A69">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37C5B53">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DFE5E57">
      <w:pPr>
        <w:rPr>
          <w:rFonts w:hint="eastAsia" w:ascii="宋体" w:hAnsi="宋体" w:eastAsia="宋体" w:cs="宋体"/>
          <w:color w:val="auto"/>
          <w:highlight w:val="none"/>
        </w:rPr>
      </w:pPr>
      <w:bookmarkStart w:id="157" w:name="_Toc8007"/>
      <w:r>
        <w:rPr>
          <w:rFonts w:hint="eastAsia" w:ascii="宋体" w:hAnsi="宋体" w:eastAsia="宋体" w:cs="宋体"/>
          <w:color w:val="auto"/>
          <w:highlight w:val="none"/>
        </w:rPr>
        <w:br w:type="page" w:clear="all"/>
      </w:r>
    </w:p>
    <w:p w14:paraId="71F71F36">
      <w:pPr>
        <w:pStyle w:val="31"/>
        <w:keepNext w:val="0"/>
        <w:keepLines w:val="0"/>
        <w:pageBreakBefore w:val="0"/>
        <w:widowControl w:val="0"/>
        <w:kinsoku/>
        <w:wordWrap/>
        <w:overflowPunct/>
        <w:topLinePunct w:val="0"/>
        <w:autoSpaceDE/>
        <w:autoSpaceDN/>
        <w:bidi w:val="0"/>
        <w:adjustRightInd/>
        <w:snapToGrid/>
        <w:spacing w:beforeAutospacing="0" w:afterAutospacing="0"/>
        <w:jc w:val="center"/>
        <w:textAlignment w:val="auto"/>
        <w:rPr>
          <w:rFonts w:hint="eastAsia" w:ascii="宋体" w:hAnsi="宋体" w:eastAsia="宋体" w:cs="宋体"/>
          <w:b/>
          <w:bCs/>
          <w:color w:val="auto"/>
          <w:sz w:val="44"/>
          <w:szCs w:val="44"/>
          <w:highlight w:val="none"/>
        </w:rPr>
      </w:pPr>
      <w:bookmarkStart w:id="158" w:name="_Toc479757211"/>
      <w:bookmarkStart w:id="159" w:name="_Toc16938590"/>
      <w:bookmarkStart w:id="160" w:name="_Toc20823346"/>
      <w:bookmarkStart w:id="161" w:name="_Toc120614244"/>
      <w:bookmarkStart w:id="162" w:name="_Hlt16619350"/>
      <w:bookmarkStart w:id="163" w:name="_Toc462564139"/>
      <w:bookmarkStart w:id="164" w:name="_Hlt16619369"/>
      <w:r>
        <w:rPr>
          <w:rFonts w:hint="eastAsia" w:ascii="宋体" w:hAnsi="宋体" w:eastAsia="宋体" w:cs="宋体"/>
          <w:b/>
          <w:bCs/>
          <w:color w:val="auto"/>
          <w:sz w:val="44"/>
          <w:szCs w:val="44"/>
          <w:highlight w:val="none"/>
        </w:rPr>
        <w:t>第三</w:t>
      </w:r>
      <w:r>
        <w:rPr>
          <w:rFonts w:hint="eastAsia" w:ascii="宋体" w:hAnsi="宋体" w:eastAsia="宋体" w:cs="宋体"/>
          <w:b/>
          <w:bCs/>
          <w:color w:val="auto"/>
          <w:sz w:val="44"/>
          <w:szCs w:val="44"/>
          <w:highlight w:val="none"/>
          <w:lang w:eastAsia="zh-CN"/>
        </w:rPr>
        <w:t>章</w:t>
      </w:r>
      <w:r>
        <w:rPr>
          <w:rFonts w:hint="eastAsia" w:ascii="宋体" w:hAnsi="宋体" w:eastAsia="宋体" w:cs="宋体"/>
          <w:b/>
          <w:bCs/>
          <w:color w:val="auto"/>
          <w:sz w:val="44"/>
          <w:szCs w:val="44"/>
          <w:highlight w:val="none"/>
        </w:rPr>
        <w:t xml:space="preserve">  合同条款</w:t>
      </w:r>
      <w:bookmarkEnd w:id="157"/>
    </w:p>
    <w:p w14:paraId="2A91C90C">
      <w:pPr>
        <w:rPr>
          <w:rFonts w:hint="eastAsia" w:ascii="宋体" w:hAnsi="宋体" w:eastAsia="宋体" w:cs="宋体"/>
          <w:color w:val="auto"/>
          <w:highlight w:val="none"/>
        </w:rPr>
      </w:pPr>
      <w:bookmarkStart w:id="165" w:name="EB6d2006462e294de090c16e672cecc3bd"/>
      <w:bookmarkEnd w:id="165"/>
    </w:p>
    <w:p w14:paraId="170C7E28">
      <w:pPr>
        <w:jc w:val="center"/>
        <w:rPr>
          <w:rFonts w:hint="eastAsia" w:ascii="宋体" w:hAnsi="宋体" w:eastAsia="宋体" w:cs="宋体"/>
          <w:b/>
          <w:bCs/>
          <w:color w:val="auto"/>
          <w:spacing w:val="-20"/>
          <w:sz w:val="48"/>
          <w:szCs w:val="48"/>
          <w:highlight w:val="none"/>
        </w:rPr>
      </w:pPr>
      <w:bookmarkStart w:id="166" w:name="_Toc3995"/>
    </w:p>
    <w:p w14:paraId="0350B5AA">
      <w:pPr>
        <w:jc w:val="center"/>
        <w:rPr>
          <w:rFonts w:hint="eastAsia" w:ascii="宋体" w:hAnsi="宋体" w:eastAsia="宋体" w:cs="宋体"/>
          <w:b/>
          <w:bCs/>
          <w:color w:val="auto"/>
          <w:spacing w:val="-20"/>
          <w:sz w:val="48"/>
          <w:szCs w:val="48"/>
          <w:highlight w:val="none"/>
        </w:rPr>
      </w:pPr>
    </w:p>
    <w:p w14:paraId="1FC4FE14">
      <w:pPr>
        <w:jc w:val="center"/>
        <w:rPr>
          <w:rFonts w:hint="eastAsia" w:ascii="宋体" w:hAnsi="宋体" w:eastAsia="宋体" w:cs="宋体"/>
          <w:b/>
          <w:bCs/>
          <w:color w:val="auto"/>
          <w:spacing w:val="-20"/>
          <w:sz w:val="48"/>
          <w:szCs w:val="48"/>
          <w:highlight w:val="none"/>
        </w:rPr>
      </w:pPr>
    </w:p>
    <w:p w14:paraId="2C362468">
      <w:pPr>
        <w:jc w:val="center"/>
        <w:rPr>
          <w:rFonts w:hint="eastAsia" w:ascii="宋体" w:hAnsi="宋体" w:eastAsia="宋体" w:cs="宋体"/>
          <w:b/>
          <w:bCs/>
          <w:color w:val="auto"/>
          <w:spacing w:val="-20"/>
          <w:sz w:val="48"/>
          <w:szCs w:val="48"/>
          <w:highlight w:val="none"/>
        </w:rPr>
      </w:pPr>
    </w:p>
    <w:p w14:paraId="3E1451CA">
      <w:pPr>
        <w:jc w:val="center"/>
        <w:rPr>
          <w:rFonts w:hint="eastAsia" w:ascii="宋体" w:hAnsi="宋体" w:eastAsia="宋体" w:cs="宋体"/>
          <w:color w:val="auto"/>
          <w:sz w:val="30"/>
          <w:highlight w:val="none"/>
        </w:rPr>
      </w:pPr>
    </w:p>
    <w:p w14:paraId="3540A46F">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t>政府采购货物买卖合同</w:t>
      </w:r>
    </w:p>
    <w:p w14:paraId="66E46DFF">
      <w:pPr>
        <w:jc w:val="center"/>
        <w:rPr>
          <w:rFonts w:hint="eastAsia" w:ascii="宋体" w:hAnsi="宋体" w:eastAsia="宋体" w:cs="宋体"/>
          <w:color w:val="auto"/>
          <w:sz w:val="30"/>
          <w:highlight w:val="none"/>
        </w:rPr>
      </w:pPr>
    </w:p>
    <w:p w14:paraId="26E00333">
      <w:pPr>
        <w:rPr>
          <w:rFonts w:hint="eastAsia" w:ascii="宋体" w:hAnsi="宋体" w:eastAsia="宋体" w:cs="宋体"/>
          <w:color w:val="auto"/>
          <w:sz w:val="30"/>
          <w:highlight w:val="none"/>
        </w:rPr>
      </w:pPr>
    </w:p>
    <w:p w14:paraId="1F3C8677">
      <w:pPr>
        <w:rPr>
          <w:rFonts w:hint="eastAsia" w:ascii="宋体" w:hAnsi="宋体" w:eastAsia="宋体" w:cs="宋体"/>
          <w:color w:val="auto"/>
          <w:sz w:val="30"/>
          <w:highlight w:val="none"/>
        </w:rPr>
      </w:pPr>
    </w:p>
    <w:p w14:paraId="4BB5060D">
      <w:pPr>
        <w:rPr>
          <w:rFonts w:hint="eastAsia" w:ascii="宋体" w:hAnsi="宋体" w:eastAsia="宋体" w:cs="宋体"/>
          <w:color w:val="auto"/>
          <w:sz w:val="30"/>
          <w:highlight w:val="none"/>
        </w:rPr>
      </w:pPr>
    </w:p>
    <w:p w14:paraId="1595C12A">
      <w:pPr>
        <w:spacing w:line="360" w:lineRule="auto"/>
        <w:ind w:left="420"/>
        <w:rPr>
          <w:rFonts w:hint="eastAsia" w:ascii="宋体" w:hAnsi="宋体" w:eastAsia="宋体" w:cs="宋体"/>
          <w:color w:val="auto"/>
          <w:sz w:val="30"/>
          <w:highlight w:val="none"/>
        </w:rPr>
      </w:pPr>
      <w:r>
        <w:rPr>
          <w:rFonts w:hint="eastAsia" w:ascii="宋体" w:hAnsi="宋体" w:eastAsia="宋体" w:cs="宋体"/>
          <w:color w:val="auto"/>
          <w:sz w:val="30"/>
          <w:highlight w:val="none"/>
        </w:rPr>
        <w:t>项目名称：</w:t>
      </w:r>
    </w:p>
    <w:p w14:paraId="66518940">
      <w:pPr>
        <w:spacing w:line="360" w:lineRule="auto"/>
        <w:ind w:left="420"/>
        <w:rPr>
          <w:rFonts w:hint="eastAsia" w:ascii="宋体" w:hAnsi="宋体" w:eastAsia="宋体" w:cs="宋体"/>
          <w:color w:val="auto"/>
          <w:sz w:val="30"/>
          <w:highlight w:val="none"/>
        </w:rPr>
      </w:pPr>
      <w:r>
        <w:rPr>
          <w:rFonts w:hint="eastAsia" w:ascii="宋体" w:hAnsi="宋体" w:eastAsia="宋体" w:cs="宋体"/>
          <w:color w:val="auto"/>
          <w:sz w:val="30"/>
          <w:highlight w:val="none"/>
        </w:rPr>
        <w:t>合同编号：</w:t>
      </w:r>
    </w:p>
    <w:p w14:paraId="4784FE56">
      <w:pPr>
        <w:spacing w:line="360" w:lineRule="auto"/>
        <w:ind w:left="420"/>
        <w:rPr>
          <w:rFonts w:hint="eastAsia" w:ascii="宋体" w:hAnsi="宋体" w:eastAsia="宋体" w:cs="宋体"/>
          <w:color w:val="auto"/>
          <w:sz w:val="30"/>
          <w:highlight w:val="none"/>
        </w:rPr>
      </w:pPr>
      <w:r>
        <w:rPr>
          <w:rFonts w:hint="eastAsia" w:ascii="宋体" w:hAnsi="宋体" w:eastAsia="宋体" w:cs="宋体"/>
          <w:color w:val="auto"/>
          <w:sz w:val="30"/>
          <w:highlight w:val="none"/>
        </w:rPr>
        <w:t>甲    方：</w:t>
      </w:r>
    </w:p>
    <w:p w14:paraId="15279FDE">
      <w:pPr>
        <w:spacing w:line="360" w:lineRule="auto"/>
        <w:ind w:left="420"/>
        <w:rPr>
          <w:rFonts w:hint="eastAsia" w:ascii="宋体" w:hAnsi="宋体" w:eastAsia="宋体" w:cs="宋体"/>
          <w:color w:val="auto"/>
          <w:sz w:val="30"/>
          <w:highlight w:val="none"/>
        </w:rPr>
      </w:pPr>
      <w:r>
        <w:rPr>
          <w:rFonts w:hint="eastAsia" w:ascii="宋体" w:hAnsi="宋体" w:eastAsia="宋体" w:cs="宋体"/>
          <w:color w:val="auto"/>
          <w:sz w:val="30"/>
          <w:highlight w:val="none"/>
        </w:rPr>
        <w:t>乙    方：</w:t>
      </w:r>
    </w:p>
    <w:p w14:paraId="31ECDA6A">
      <w:pPr>
        <w:spacing w:line="360" w:lineRule="auto"/>
        <w:ind w:left="420"/>
        <w:rPr>
          <w:rFonts w:hint="eastAsia" w:ascii="宋体" w:hAnsi="宋体" w:eastAsia="宋体" w:cs="宋体"/>
          <w:color w:val="auto"/>
          <w:sz w:val="30"/>
          <w:highlight w:val="none"/>
        </w:rPr>
      </w:pPr>
      <w:r>
        <w:rPr>
          <w:rFonts w:hint="eastAsia" w:ascii="宋体" w:hAnsi="宋体" w:eastAsia="宋体" w:cs="宋体"/>
          <w:color w:val="auto"/>
          <w:sz w:val="30"/>
          <w:highlight w:val="none"/>
        </w:rPr>
        <w:t>签订时间：</w:t>
      </w:r>
    </w:p>
    <w:p w14:paraId="5AD24184">
      <w:pPr>
        <w:rPr>
          <w:rFonts w:hint="eastAsia" w:ascii="宋体" w:hAnsi="宋体" w:eastAsia="宋体" w:cs="宋体"/>
          <w:color w:val="auto"/>
          <w:highlight w:val="none"/>
        </w:rPr>
      </w:pPr>
    </w:p>
    <w:p w14:paraId="7ED5EE6E">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p>
    <w:bookmarkEnd w:id="166"/>
    <w:p w14:paraId="511D74F0">
      <w:pPr>
        <w:ind w:firstLine="880"/>
        <w:rPr>
          <w:rFonts w:hint="eastAsia" w:ascii="宋体" w:hAnsi="宋体" w:eastAsia="宋体" w:cs="宋体"/>
          <w:color w:val="auto"/>
          <w:sz w:val="44"/>
          <w:szCs w:val="44"/>
          <w:highlight w:val="none"/>
        </w:rPr>
        <w:sectPr>
          <w:footerReference r:id="rId3" w:type="default"/>
          <w:pgSz w:w="11906" w:h="16838"/>
          <w:pgMar w:top="1440" w:right="1080" w:bottom="1440" w:left="1080" w:header="851" w:footer="992" w:gutter="0"/>
          <w:cols w:space="425" w:num="1"/>
          <w:docGrid w:linePitch="360" w:charSpace="0"/>
        </w:sectPr>
      </w:pPr>
    </w:p>
    <w:p w14:paraId="6144A44C">
      <w:pPr>
        <w:keepNext/>
        <w:keepLines/>
        <w:spacing w:line="400" w:lineRule="exact"/>
        <w:jc w:val="center"/>
        <w:outlineLvl w:val="1"/>
        <w:rPr>
          <w:rFonts w:hint="eastAsia" w:ascii="宋体" w:hAnsi="宋体" w:eastAsia="宋体" w:cs="宋体"/>
          <w:color w:val="auto"/>
          <w:sz w:val="28"/>
          <w:szCs w:val="28"/>
          <w:highlight w:val="none"/>
        </w:rPr>
      </w:pPr>
      <w:bookmarkStart w:id="167" w:name="_Toc22209"/>
      <w:r>
        <w:rPr>
          <w:rFonts w:hint="eastAsia" w:ascii="宋体" w:hAnsi="宋体" w:eastAsia="宋体" w:cs="宋体"/>
          <w:b/>
          <w:bCs/>
          <w:color w:val="auto"/>
          <w:sz w:val="32"/>
          <w:szCs w:val="32"/>
          <w:highlight w:val="none"/>
        </w:rPr>
        <w:t>政府采购合同协议书</w:t>
      </w:r>
      <w:bookmarkEnd w:id="167"/>
    </w:p>
    <w:p w14:paraId="2EC65712">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textAlignment w:val="auto"/>
        <w:rPr>
          <w:rFonts w:hint="eastAsia" w:ascii="宋体" w:hAnsi="宋体" w:eastAsia="宋体" w:cs="宋体"/>
          <w:color w:val="auto"/>
          <w:sz w:val="24"/>
          <w:szCs w:val="24"/>
          <w:highlight w:val="none"/>
        </w:rPr>
      </w:pPr>
      <w:bookmarkStart w:id="168" w:name="_Toc27624"/>
      <w:bookmarkStart w:id="169" w:name="_Toc20313"/>
      <w:bookmarkStart w:id="170" w:name="_Hlk130227972"/>
      <w:r>
        <w:rPr>
          <w:rFonts w:hint="eastAsia" w:ascii="宋体" w:hAnsi="宋体" w:eastAsia="宋体" w:cs="宋体"/>
          <w:color w:val="auto"/>
          <w:sz w:val="24"/>
          <w:szCs w:val="24"/>
          <w:highlight w:val="none"/>
        </w:rPr>
        <w:t xml:space="preserve">项目名称：                                       </w:t>
      </w:r>
    </w:p>
    <w:p w14:paraId="5CD7389C">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14:paraId="66C1B538">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甲方：（买方）_________</w:t>
      </w:r>
    </w:p>
    <w:p w14:paraId="0346162A">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乙方：（卖方）_________</w:t>
      </w:r>
    </w:p>
    <w:p w14:paraId="780AB504">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项目公开招标的结果，签署本合同。</w:t>
      </w:r>
    </w:p>
    <w:p w14:paraId="704342DD">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一、货物内容</w:t>
      </w:r>
    </w:p>
    <w:p w14:paraId="5E08B2EA">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货物名称：</w:t>
      </w:r>
    </w:p>
    <w:p w14:paraId="7EAB57AE">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型号规格：</w:t>
      </w:r>
    </w:p>
    <w:p w14:paraId="5B67750B">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数量（单位）：</w:t>
      </w:r>
    </w:p>
    <w:p w14:paraId="72034672">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二、合同金额</w:t>
      </w:r>
    </w:p>
    <w:p w14:paraId="1DCF099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2.1 本合同金额为（大写）：________元（_______________元）人民币或其他币种。</w:t>
      </w:r>
    </w:p>
    <w:p w14:paraId="10794A10">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三、技术资料</w:t>
      </w:r>
    </w:p>
    <w:p w14:paraId="66B3691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3.1乙方应按招标文件规定的时间向甲方提供使用货物的有关技术资料。</w:t>
      </w:r>
    </w:p>
    <w:p w14:paraId="4FBA10D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3D7F78A">
      <w:pPr>
        <w:pStyle w:val="197"/>
        <w:keepNext w:val="0"/>
        <w:keepLines w:val="0"/>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四、知识产权</w:t>
      </w:r>
    </w:p>
    <w:p w14:paraId="164828A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4.1乙</w:t>
      </w:r>
      <w:r>
        <w:rPr>
          <w:rFonts w:hint="eastAsia" w:ascii="宋体" w:hAnsi="宋体" w:eastAsia="宋体" w:cs="宋体"/>
          <w:color w:val="auto"/>
          <w:sz w:val="24"/>
          <w:highlight w:val="none"/>
        </w:rPr>
        <w:t>方应保证甲方在使用、接受本合同货物和服务或其任何一部分时不受第三方提出侵犯其专利权、版权、商标权和工业设计权等知识产权的起诉。一旦出现侵权，由乙方负全部责任。</w:t>
      </w:r>
    </w:p>
    <w:p w14:paraId="05803E3F">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2"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五、产权担保</w:t>
      </w:r>
    </w:p>
    <w:p w14:paraId="2E53435D">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乙方保证所交付的货物的所有权完全属于乙方且无任何抵押、查封等产权瑕疵。</w:t>
      </w:r>
    </w:p>
    <w:p w14:paraId="0483DD26">
      <w:pPr>
        <w:pStyle w:val="197"/>
        <w:keepNext w:val="0"/>
        <w:keepLines w:val="0"/>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六、履约保证金</w:t>
      </w:r>
    </w:p>
    <w:p w14:paraId="17BCD3FB">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6.1乙方交纳本项目</w:t>
      </w:r>
      <w:r>
        <w:rPr>
          <w:rFonts w:hint="eastAsia" w:ascii="宋体" w:hAnsi="宋体" w:eastAsia="宋体" w:cs="宋体"/>
          <w:color w:val="auto"/>
          <w:sz w:val="24"/>
          <w:szCs w:val="24"/>
          <w:highlight w:val="none"/>
          <w:u w:val="single"/>
        </w:rPr>
        <w:t>合同价的10%给</w:t>
      </w:r>
      <w:r>
        <w:rPr>
          <w:rFonts w:hint="eastAsia" w:ascii="宋体" w:hAnsi="宋体" w:eastAsia="宋体" w:cs="宋体"/>
          <w:color w:val="auto"/>
          <w:sz w:val="24"/>
          <w:szCs w:val="24"/>
          <w:highlight w:val="none"/>
        </w:rPr>
        <w:t>甲方，作为本项目的履约保证金，乙方如系AA评级及以上政府采购供应商（需提供信用管理部门备案的第三方信用报告），可免交履约保证金。</w:t>
      </w:r>
    </w:p>
    <w:p w14:paraId="732CB2D1">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 履约保证金的收取方式：银行转帐或电汇或保函或履约保函（保险），履约保证金的退还：项目验收合格后15日内无息退还。如未能按期交付验收合格的履约保证金不予退还。</w:t>
      </w:r>
    </w:p>
    <w:p w14:paraId="69758F38">
      <w:pPr>
        <w:keepNext w:val="0"/>
        <w:keepLines w:val="0"/>
        <w:pageBreakBefore w:val="0"/>
        <w:widowControl w:val="0"/>
        <w:kinsoku/>
        <w:wordWrap/>
        <w:overflowPunct/>
        <w:topLinePunct w:val="0"/>
        <w:autoSpaceDE/>
        <w:autoSpaceDN/>
        <w:bidi w:val="0"/>
        <w:adjustRightInd/>
        <w:snapToGrid/>
        <w:spacing w:before="0" w:after="0" w:line="44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七、转包或分包</w:t>
      </w:r>
    </w:p>
    <w:p w14:paraId="7ECABAB6">
      <w:pPr>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7.1本合同范围的货物，应由乙方直接供应，不得转让他人供应；</w:t>
      </w:r>
    </w:p>
    <w:p w14:paraId="789631F4">
      <w:pPr>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除非得到甲方的书面同意，乙方不得部分分包给他人供应。</w:t>
      </w:r>
    </w:p>
    <w:p w14:paraId="40126633">
      <w:pPr>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7.3如有转让和未经甲方同意的分包行为，甲方有权给予终止合同。</w:t>
      </w:r>
    </w:p>
    <w:p w14:paraId="4E7E74DB">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八、质保期</w:t>
      </w:r>
    </w:p>
    <w:p w14:paraId="3281CAB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质保期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五</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年。自</w:t>
      </w:r>
      <w:r>
        <w:rPr>
          <w:rFonts w:hint="eastAsia" w:ascii="宋体" w:hAnsi="宋体" w:eastAsia="宋体" w:cs="宋体"/>
          <w:color w:val="auto"/>
          <w:sz w:val="24"/>
          <w:szCs w:val="24"/>
          <w:highlight w:val="none"/>
          <w:lang w:val="en-US" w:eastAsia="zh-CN"/>
        </w:rPr>
        <w:t>整体</w:t>
      </w: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rPr>
        <w:t>验收合格之日起计，质保期内的设备等其他损害货物均由乙方在甲方要求时间内整修完毕，保证道路</w:t>
      </w:r>
      <w:r>
        <w:rPr>
          <w:rFonts w:hint="eastAsia" w:ascii="宋体" w:hAnsi="宋体" w:eastAsia="宋体" w:cs="宋体"/>
          <w:color w:val="auto"/>
          <w:sz w:val="24"/>
          <w:szCs w:val="24"/>
          <w:highlight w:val="none"/>
          <w:lang w:eastAsia="zh-CN"/>
        </w:rPr>
        <w:t>、设备</w:t>
      </w:r>
      <w:r>
        <w:rPr>
          <w:rFonts w:hint="eastAsia" w:ascii="宋体" w:hAnsi="宋体" w:eastAsia="宋体" w:cs="宋体"/>
          <w:color w:val="auto"/>
          <w:sz w:val="24"/>
          <w:szCs w:val="24"/>
          <w:highlight w:val="none"/>
        </w:rPr>
        <w:t>安全，由第三方人为因素造成的</w:t>
      </w:r>
      <w:r>
        <w:rPr>
          <w:rFonts w:hint="eastAsia" w:ascii="宋体" w:hAnsi="宋体" w:eastAsia="宋体" w:cs="宋体"/>
          <w:color w:val="auto"/>
          <w:sz w:val="24"/>
          <w:szCs w:val="24"/>
          <w:highlight w:val="none"/>
          <w:lang w:eastAsia="zh-CN"/>
        </w:rPr>
        <w:t>损坏</w:t>
      </w:r>
      <w:r>
        <w:rPr>
          <w:rFonts w:hint="eastAsia" w:ascii="宋体" w:hAnsi="宋体" w:eastAsia="宋体" w:cs="宋体"/>
          <w:color w:val="auto"/>
          <w:sz w:val="24"/>
          <w:szCs w:val="24"/>
          <w:highlight w:val="none"/>
        </w:rPr>
        <w:t>，由乙方自行处理索赔事务，与甲方无关。</w:t>
      </w:r>
    </w:p>
    <w:p w14:paraId="5B14F12B">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九、合同履行期限、交货方式及交货地点</w:t>
      </w:r>
    </w:p>
    <w:p w14:paraId="5614A5D8">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9.1 合同履行期限：</w:t>
      </w:r>
      <w:r>
        <w:rPr>
          <w:rFonts w:hint="eastAsia" w:ascii="宋体" w:hAnsi="宋体" w:eastAsia="宋体" w:cs="宋体"/>
          <w:color w:val="auto"/>
          <w:sz w:val="24"/>
          <w:szCs w:val="24"/>
          <w:highlight w:val="none"/>
        </w:rPr>
        <w:t>_________</w:t>
      </w:r>
    </w:p>
    <w:p w14:paraId="2ED804DD">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9.2 交货方式：</w:t>
      </w:r>
      <w:r>
        <w:rPr>
          <w:rFonts w:hint="eastAsia" w:ascii="宋体" w:hAnsi="宋体" w:eastAsia="宋体" w:cs="宋体"/>
          <w:color w:val="auto"/>
          <w:sz w:val="24"/>
          <w:szCs w:val="24"/>
          <w:highlight w:val="none"/>
        </w:rPr>
        <w:t>_________</w:t>
      </w:r>
    </w:p>
    <w:p w14:paraId="6392C2ED">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9.3 交货地点：</w:t>
      </w:r>
      <w:r>
        <w:rPr>
          <w:rFonts w:hint="eastAsia" w:ascii="宋体" w:hAnsi="宋体" w:eastAsia="宋体" w:cs="宋体"/>
          <w:color w:val="auto"/>
          <w:sz w:val="24"/>
          <w:szCs w:val="24"/>
          <w:highlight w:val="none"/>
        </w:rPr>
        <w:t>_________</w:t>
      </w:r>
    </w:p>
    <w:p w14:paraId="096F0A2E">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十、货款支付</w:t>
      </w:r>
    </w:p>
    <w:p w14:paraId="3976761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10.1 </w:t>
      </w:r>
      <w:r>
        <w:rPr>
          <w:rFonts w:hint="eastAsia" w:ascii="宋体" w:hAnsi="宋体" w:eastAsia="宋体" w:cs="宋体"/>
          <w:b/>
          <w:color w:val="auto"/>
          <w:sz w:val="24"/>
          <w:szCs w:val="24"/>
          <w:highlight w:val="none"/>
        </w:rPr>
        <w:t>付款方式：合同签订后付30%预付款，项目验收合格后付至合同价款的</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0%，验收合格满一年后付至审核价款的</w:t>
      </w: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0%，验收合格满二年后付至审核价款的</w:t>
      </w: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0%，验收合格满三年后付至审核价款的</w:t>
      </w: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0%，验收合格满四年后付至审核价款的9</w:t>
      </w:r>
      <w:r>
        <w:rPr>
          <w:rFonts w:hint="eastAsia" w:ascii="宋体" w:hAnsi="宋体" w:eastAsia="宋体" w:cs="宋体"/>
          <w:b/>
          <w:color w:val="auto"/>
          <w:sz w:val="24"/>
          <w:szCs w:val="24"/>
          <w:highlight w:val="none"/>
          <w:lang w:val="en-US" w:eastAsia="zh-CN"/>
        </w:rPr>
        <w:t>0</w:t>
      </w:r>
      <w:r>
        <w:rPr>
          <w:rFonts w:hint="eastAsia" w:ascii="宋体" w:hAnsi="宋体" w:eastAsia="宋体" w:cs="宋体"/>
          <w:b/>
          <w:color w:val="auto"/>
          <w:sz w:val="24"/>
          <w:szCs w:val="24"/>
          <w:highlight w:val="none"/>
        </w:rPr>
        <w:t>%，验收合格满五年后付至审核价款的100%。</w:t>
      </w:r>
    </w:p>
    <w:p w14:paraId="31DAFE46">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注：付款均不含利息。</w:t>
      </w:r>
    </w:p>
    <w:p w14:paraId="504FDD4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当采购数量与实际使用数量不一致时，乙方应根据实际使用量供货，合同的最终结算金额按实际使用量乘以成交单价进行计算。</w:t>
      </w:r>
    </w:p>
    <w:p w14:paraId="6CF819A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对于满足合同约定支付条件的，采购人应当自收到发票后 15 日内将资金支付到合同约定的供应商账户。</w:t>
      </w:r>
    </w:p>
    <w:p w14:paraId="324C36A3">
      <w:pPr>
        <w:keepNext w:val="0"/>
        <w:keepLines w:val="0"/>
        <w:pageBreakBefore w:val="0"/>
        <w:widowControl w:val="0"/>
        <w:kinsoku/>
        <w:wordWrap/>
        <w:overflowPunct/>
        <w:topLinePunct w:val="0"/>
        <w:autoSpaceDE/>
        <w:autoSpaceDN/>
        <w:bidi w:val="0"/>
        <w:adjustRightInd/>
        <w:snapToGrid/>
        <w:spacing w:before="0" w:after="0" w:line="44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十一.税费</w:t>
      </w:r>
    </w:p>
    <w:p w14:paraId="77B4A7DD">
      <w:pPr>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本合同执行中相关的一切税费均由乙方负担。</w:t>
      </w:r>
    </w:p>
    <w:p w14:paraId="5F311A1F">
      <w:pPr>
        <w:pStyle w:val="197"/>
        <w:keepNext w:val="0"/>
        <w:keepLines w:val="0"/>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十二、质量保证及售后服务</w:t>
      </w:r>
    </w:p>
    <w:p w14:paraId="613B4A0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乙方应按招标文件规定的货物性能、技术要求、质量标准向甲方提供未经使用的全新产品。</w:t>
      </w:r>
    </w:p>
    <w:p w14:paraId="63C8E58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乙方提供的货物在质量期内因货物本身的质量问题发生故障，乙方应负责免费更换。对达不到技术要求者，根据实际情况，经双方协商，可按以下办法处理：</w:t>
      </w:r>
    </w:p>
    <w:p w14:paraId="4745095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⑴更换：由乙方承担所发生的全部费用。</w:t>
      </w:r>
    </w:p>
    <w:p w14:paraId="2307C96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⑵贬值处理：由甲乙双方合议定价。</w:t>
      </w:r>
    </w:p>
    <w:p w14:paraId="2C840EB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⑶退货处理：乙方应退还甲方支付的合同款，同时应承担该货物的直接费用（运输、保险、检验、货款利息及银行手续费等）。</w:t>
      </w:r>
    </w:p>
    <w:p w14:paraId="39C92EE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如在使用过程中发生质量问题，乙方在接到电话后须在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w:t>
      </w:r>
      <w:r>
        <w:rPr>
          <w:rFonts w:hint="eastAsia" w:ascii="宋体" w:hAnsi="宋体" w:eastAsia="宋体" w:cs="宋体"/>
          <w:color w:val="auto"/>
          <w:sz w:val="24"/>
          <w:szCs w:val="24"/>
          <w:highlight w:val="none"/>
          <w:lang w:eastAsia="zh-CN"/>
        </w:rPr>
        <w:t>内</w:t>
      </w:r>
      <w:r>
        <w:rPr>
          <w:rFonts w:hint="eastAsia" w:ascii="宋体" w:hAnsi="宋体" w:eastAsia="宋体" w:cs="宋体"/>
          <w:color w:val="auto"/>
          <w:sz w:val="24"/>
          <w:szCs w:val="24"/>
          <w:highlight w:val="none"/>
        </w:rPr>
        <w:t xml:space="preserve">响应， </w:t>
      </w:r>
      <w:r>
        <w:rPr>
          <w:rFonts w:hint="eastAsia" w:ascii="宋体" w:hAnsi="宋体" w:eastAsia="宋体" w:cs="宋体"/>
          <w:color w:val="auto"/>
          <w:sz w:val="24"/>
          <w:szCs w:val="24"/>
          <w:highlight w:val="none"/>
          <w:u w:val="single"/>
          <w:lang w:val="en-US" w:eastAsia="zh-CN"/>
        </w:rPr>
        <w:t>24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小时内到达现场解决问题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如遇特殊情况不能在规定时间内解决的须向甲方提出书面申请，经甲方同意后方可延长维修时间，否则按合同价的万分一/天作为逾期违约处罚，违约金直接从结算价款中扣除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，如果需要更换货物或配件，需保证所换货物或配件不低于原配置</w:t>
      </w:r>
      <w:r>
        <w:rPr>
          <w:rFonts w:hint="eastAsia" w:ascii="宋体" w:hAnsi="宋体" w:eastAsia="宋体" w:cs="宋体"/>
          <w:color w:val="auto"/>
          <w:highlight w:val="none"/>
          <w:lang w:eastAsia="zh-CN"/>
        </w:rPr>
        <w:t>。</w:t>
      </w:r>
      <w:r>
        <w:rPr>
          <w:rFonts w:hint="eastAsia" w:ascii="宋体" w:hAnsi="宋体" w:eastAsia="宋体" w:cs="宋体"/>
          <w:color w:val="auto"/>
          <w:sz w:val="24"/>
          <w:szCs w:val="24"/>
          <w:highlight w:val="none"/>
        </w:rPr>
        <w:t>如在</w:t>
      </w:r>
      <w:r>
        <w:rPr>
          <w:rFonts w:hint="eastAsia" w:ascii="宋体" w:hAnsi="宋体" w:eastAsia="宋体" w:cs="宋体"/>
          <w:color w:val="auto"/>
          <w:sz w:val="24"/>
          <w:szCs w:val="24"/>
          <w:highlight w:val="none"/>
          <w:lang w:val="en-US" w:eastAsia="zh-CN"/>
        </w:rPr>
        <w:t>上述</w:t>
      </w:r>
      <w:r>
        <w:rPr>
          <w:rFonts w:hint="eastAsia" w:ascii="宋体" w:hAnsi="宋体" w:eastAsia="宋体" w:cs="宋体"/>
          <w:color w:val="auto"/>
          <w:sz w:val="24"/>
          <w:szCs w:val="24"/>
          <w:highlight w:val="none"/>
        </w:rPr>
        <w:t>规定时间内不能到位的，甲方有权自行维修或更换，其费用在乙方</w:t>
      </w:r>
      <w:r>
        <w:rPr>
          <w:rFonts w:hint="eastAsia" w:ascii="宋体" w:hAnsi="宋体" w:eastAsia="宋体" w:cs="宋体"/>
          <w:color w:val="auto"/>
          <w:sz w:val="24"/>
          <w:szCs w:val="24"/>
          <w:highlight w:val="none"/>
          <w:lang w:eastAsia="zh-CN"/>
        </w:rPr>
        <w:t>合同价款</w:t>
      </w:r>
      <w:r>
        <w:rPr>
          <w:rFonts w:hint="eastAsia" w:ascii="宋体" w:hAnsi="宋体" w:eastAsia="宋体" w:cs="宋体"/>
          <w:color w:val="auto"/>
          <w:sz w:val="24"/>
          <w:szCs w:val="24"/>
          <w:highlight w:val="none"/>
        </w:rPr>
        <w:t>中扣除</w:t>
      </w:r>
      <w:r>
        <w:rPr>
          <w:rFonts w:hint="eastAsia" w:ascii="宋体" w:hAnsi="宋体" w:eastAsia="宋体" w:cs="宋体"/>
          <w:color w:val="auto"/>
          <w:sz w:val="24"/>
          <w:szCs w:val="24"/>
          <w:highlight w:val="none"/>
          <w:lang w:eastAsia="zh-CN"/>
        </w:rPr>
        <w:t>，甲方自行维修后的设备仍享有乙方的质保承诺</w:t>
      </w:r>
      <w:r>
        <w:rPr>
          <w:rFonts w:hint="eastAsia" w:ascii="宋体" w:hAnsi="宋体" w:eastAsia="宋体" w:cs="宋体"/>
          <w:color w:val="auto"/>
          <w:sz w:val="24"/>
          <w:szCs w:val="24"/>
          <w:highlight w:val="none"/>
        </w:rPr>
        <w:t>。如设备、配套设施、管线等出现意外（包括自然灾害等）或任何人为等因素造成损坏的，乙方需先无条件维修复原，维修完成后再由乙方（甲方配合）向人为因素造成损坏的责任人追偿。</w:t>
      </w:r>
    </w:p>
    <w:p w14:paraId="4E1A5FA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 本项目实施过程中禁止采用“飞线”施工。每发现一处，处以1万元的违约处罚，直接从当期应付合同款项中扣除，同时</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还须整改到位。如</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多次通知整改仍拒不整改的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有权终止合同并追究</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因此造成的损失。</w:t>
      </w:r>
    </w:p>
    <w:p w14:paraId="5A055F7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在质保期内，乙方应确保每月（以每月的23日统计数据为准，注：23日为节假日的，延后到下一个工作日）的监控在线率达  %及以上，未达到，每低1个百分点，扣除合同价款的万分之一，扣款每月进行累计。</w:t>
      </w:r>
    </w:p>
    <w:p w14:paraId="77DA4F7A">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12.6</w:t>
      </w:r>
      <w:r>
        <w:rPr>
          <w:rFonts w:hint="eastAsia" w:ascii="宋体" w:hAnsi="宋体" w:eastAsia="宋体" w:cs="宋体"/>
          <w:color w:val="auto"/>
          <w:sz w:val="24"/>
          <w:szCs w:val="24"/>
          <w:highlight w:val="none"/>
        </w:rPr>
        <w:t>在质保期内，乙方应对货物出现的质量及安全问题负责处理解决并承担一切费用。</w:t>
      </w:r>
    </w:p>
    <w:p w14:paraId="65EA54D0">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十三、调试和验收</w:t>
      </w:r>
    </w:p>
    <w:p w14:paraId="6686A44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甲方对乙方提交的货物依据招标文件上的技术规格要求和国家有关质量标准进行现场初步验收，外观、说明书符合招标文件技术要求的，给予签收，初步验收不合格的不予签收。货到后，甲方需在五个工作日内验收。</w:t>
      </w:r>
    </w:p>
    <w:p w14:paraId="18E1F76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乙方交货前应对产品作出全面检查和对验收文件进行整理，并列出清单，作为甲方收货验收和使用的技术条件依据，检验的结果应随货物交甲方。</w:t>
      </w:r>
    </w:p>
    <w:p w14:paraId="7CB88F6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甲方对乙方提供的货物在使用前进行调试时，乙方需负责安装并培训甲方的使用操作人员，并协助甲方一起调试，直到符合技术要求，甲方才做最终验收。</w:t>
      </w:r>
    </w:p>
    <w:p w14:paraId="0410070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13.4 对技术复杂的货物，甲方可请国家认可的专业检测机构参与初步验收及最终验收，并由其出具质量检测报告。</w:t>
      </w:r>
      <w:r>
        <w:rPr>
          <w:rFonts w:hint="eastAsia" w:ascii="宋体" w:hAnsi="宋体" w:eastAsia="宋体" w:cs="宋体"/>
          <w:color w:val="auto"/>
          <w:sz w:val="24"/>
          <w:szCs w:val="24"/>
          <w:highlight w:val="none"/>
          <w:lang w:eastAsia="zh-CN"/>
        </w:rPr>
        <w:t>检测费用由乙方负责。</w:t>
      </w:r>
    </w:p>
    <w:p w14:paraId="3D71AC2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13.5 验收时乙方必须在现场，验收完毕后作出验收结果报告；验收费用由乙方</w:t>
      </w:r>
      <w:r>
        <w:rPr>
          <w:rFonts w:hint="eastAsia" w:ascii="宋体" w:hAnsi="宋体" w:eastAsia="宋体" w:cs="宋体"/>
          <w:color w:val="auto"/>
          <w:sz w:val="24"/>
          <w:szCs w:val="24"/>
          <w:highlight w:val="none"/>
          <w:lang w:eastAsia="zh-CN"/>
        </w:rPr>
        <w:t>支付</w:t>
      </w:r>
      <w:r>
        <w:rPr>
          <w:rFonts w:hint="eastAsia" w:ascii="宋体" w:hAnsi="宋体" w:eastAsia="宋体" w:cs="宋体"/>
          <w:color w:val="auto"/>
          <w:sz w:val="24"/>
          <w:szCs w:val="24"/>
          <w:highlight w:val="none"/>
        </w:rPr>
        <w:t>。</w:t>
      </w:r>
    </w:p>
    <w:p w14:paraId="7BF29D4E">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十四、货物包装、发运及运输</w:t>
      </w:r>
    </w:p>
    <w:p w14:paraId="4229F49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乙方应在货物发运前对其进行满足运输距离、防潮、防震、防锈和防破损装卸等要求包装，以保证货物安全运达甲方指定地点。</w:t>
      </w:r>
    </w:p>
    <w:p w14:paraId="229518A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使用说明书、质量检验证明书、随配附件和工具以及清单一并附于货物内。</w:t>
      </w:r>
    </w:p>
    <w:p w14:paraId="3B0AE65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 乙方在货物发运手续办理完毕后24小时内或货到甲方48小时前通知甲方，以准备接货。</w:t>
      </w:r>
    </w:p>
    <w:p w14:paraId="207C155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 货物在交付甲方前发生的风险均由乙方负责。</w:t>
      </w:r>
    </w:p>
    <w:p w14:paraId="194FA43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14.5 货物在规定的交付期限内由乙方送达甲方指定的地点视为交付，乙方同时需通知甲方货物已送达。</w:t>
      </w:r>
    </w:p>
    <w:p w14:paraId="2A49E823">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十五、违约责任</w:t>
      </w:r>
    </w:p>
    <w:p w14:paraId="7A28610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甲方无正当理由拒收货物的，甲方向乙方偿付拒收货款总值的百分之五违约金。</w:t>
      </w:r>
    </w:p>
    <w:p w14:paraId="2A9AFF4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甲方无故逾期验收和办理货款支付手续的,甲方应按逾期付款总额每日万分之五向乙方支付违约金。</w:t>
      </w:r>
    </w:p>
    <w:p w14:paraId="44B0493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35212AE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3E44A11A">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十六、不可抗力事件处理</w:t>
      </w:r>
    </w:p>
    <w:p w14:paraId="4C98E72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在合同有效期内，任何一方因不可抗力事件导致不能履行合同，则合同履行期可延长，其延长期与不可抗力影响期相同。</w:t>
      </w:r>
    </w:p>
    <w:p w14:paraId="1B5C101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 不可抗力事件发生后，应立即通知对方，并寄送有关权威机构出具的证明。</w:t>
      </w:r>
    </w:p>
    <w:p w14:paraId="665FF1C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16.3 不可抗力事件延续120天以上，双方应通过友好协商，确定是否继续履行合同。</w:t>
      </w:r>
    </w:p>
    <w:p w14:paraId="72E65C9F">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十七、诉讼</w:t>
      </w:r>
    </w:p>
    <w:p w14:paraId="6ACB818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双方在执行合同中所发生的一切争议，应通过协商解决。如协商不成，可向合同签订地法院起诉，合同签订地在此约定为盐城市。</w:t>
      </w:r>
    </w:p>
    <w:p w14:paraId="5E72D2C9">
      <w:pPr>
        <w:pStyle w:val="197"/>
        <w:keepNext w:val="0"/>
        <w:keepLines w:val="0"/>
        <w:pageBreakBefore w:val="0"/>
        <w:widowControl w:val="0"/>
        <w:kinsoku/>
        <w:wordWrap/>
        <w:overflowPunct/>
        <w:topLinePunct w:val="0"/>
        <w:autoSpaceDE/>
        <w:autoSpaceDN/>
        <w:bidi w:val="0"/>
        <w:adjustRightInd/>
        <w:snapToGrid/>
        <w:spacing w:before="0" w:after="0" w:line="44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十八、合同生效及其它</w:t>
      </w:r>
    </w:p>
    <w:p w14:paraId="11F8268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 合同经双方法定代表人（或负责人）或授权委托代表人签字并加盖单位公章后生效。</w:t>
      </w:r>
    </w:p>
    <w:p w14:paraId="3F4D7D0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18.2本合同未尽事宜，遵照《民法典》有关条文执行。</w:t>
      </w:r>
    </w:p>
    <w:p w14:paraId="3CA4A64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18.3 本合同一式肆份，甲乙双方各执贰份。</w:t>
      </w:r>
    </w:p>
    <w:p w14:paraId="6FE6FC6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p>
    <w:p w14:paraId="6B89A7C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p>
    <w:p w14:paraId="1DB876A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         法定代表人（或负责人）或授权代表：</w:t>
      </w:r>
    </w:p>
    <w:p w14:paraId="315194D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                     联系电话：</w:t>
      </w:r>
    </w:p>
    <w:p w14:paraId="1770B5D5">
      <w:pPr>
        <w:pStyle w:val="197"/>
        <w:keepNext w:val="0"/>
        <w:keepLines w:val="0"/>
        <w:pageBreakBefore w:val="0"/>
        <w:widowControl w:val="0"/>
        <w:spacing w:before="0" w:after="0" w:line="440" w:lineRule="exact"/>
        <w:ind w:firstLine="420" w:firstLineChars="200"/>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rPr>
        <w:t xml:space="preserve">  签订日期：      年  月  日</w:t>
      </w:r>
      <w:bookmarkEnd w:id="168"/>
      <w:bookmarkEnd w:id="169"/>
      <w:bookmarkEnd w:id="170"/>
    </w:p>
    <w:p w14:paraId="738B19B2">
      <w:pPr>
        <w:pStyle w:val="31"/>
        <w:keepNext w:val="0"/>
        <w:keepLines w:val="0"/>
        <w:pageBreakBefore w:val="0"/>
        <w:widowControl w:val="0"/>
        <w:kinsoku/>
        <w:wordWrap/>
        <w:overflowPunct/>
        <w:topLinePunct w:val="0"/>
        <w:autoSpaceDE/>
        <w:autoSpaceDN/>
        <w:bidi w:val="0"/>
        <w:adjustRightInd/>
        <w:snapToGrid/>
        <w:spacing w:beforeAutospacing="0" w:afterAutospacing="0"/>
        <w:jc w:val="center"/>
        <w:textAlignment w:val="auto"/>
        <w:rPr>
          <w:rFonts w:hint="eastAsia" w:ascii="宋体" w:hAnsi="宋体" w:eastAsia="宋体" w:cs="宋体"/>
          <w:b/>
          <w:bCs/>
          <w:color w:val="auto"/>
          <w:sz w:val="44"/>
          <w:szCs w:val="44"/>
          <w:highlight w:val="none"/>
        </w:rPr>
      </w:pPr>
      <w:bookmarkStart w:id="171" w:name="_Toc3664"/>
      <w:r>
        <w:rPr>
          <w:rFonts w:hint="eastAsia" w:ascii="宋体" w:hAnsi="宋体" w:eastAsia="宋体" w:cs="宋体"/>
          <w:b/>
          <w:bCs/>
          <w:color w:val="auto"/>
          <w:sz w:val="44"/>
          <w:szCs w:val="44"/>
          <w:highlight w:val="none"/>
        </w:rPr>
        <w:t>第</w:t>
      </w:r>
      <w:bookmarkEnd w:id="158"/>
      <w:r>
        <w:rPr>
          <w:rFonts w:hint="eastAsia" w:ascii="宋体" w:hAnsi="宋体" w:eastAsia="宋体" w:cs="宋体"/>
          <w:b/>
          <w:bCs/>
          <w:color w:val="auto"/>
          <w:sz w:val="44"/>
          <w:szCs w:val="44"/>
          <w:highlight w:val="none"/>
        </w:rPr>
        <w:t>四章 采购需求</w:t>
      </w:r>
      <w:bookmarkEnd w:id="159"/>
      <w:bookmarkEnd w:id="160"/>
      <w:bookmarkEnd w:id="161"/>
      <w:bookmarkEnd w:id="162"/>
      <w:bookmarkEnd w:id="163"/>
      <w:bookmarkEnd w:id="171"/>
    </w:p>
    <w:p w14:paraId="7AEBD2AC">
      <w:pPr>
        <w:pageBreakBefore w:val="0"/>
        <w:tabs>
          <w:tab w:val="left" w:pos="0"/>
        </w:tabs>
        <w:kinsoku/>
        <w:wordWrap/>
        <w:overflowPunct/>
        <w:topLinePunct w:val="0"/>
        <w:autoSpaceDE/>
        <w:autoSpaceDN/>
        <w:bidi w:val="0"/>
        <w:adjustRightInd/>
        <w:snapToGrid/>
        <w:spacing w:line="440" w:lineRule="exact"/>
        <w:ind w:firstLine="482" w:firstLineChars="200"/>
        <w:rPr>
          <w:rFonts w:hint="eastAsia" w:ascii="宋体" w:hAnsi="宋体" w:eastAsia="宋体" w:cs="宋体"/>
          <w:b/>
          <w:bCs/>
          <w:color w:val="auto"/>
          <w:sz w:val="24"/>
          <w:szCs w:val="24"/>
          <w:highlight w:val="none"/>
          <w:lang w:val="en-US" w:eastAsia="zh-CN" w:bidi="ar-SA"/>
        </w:rPr>
      </w:pPr>
      <w:bookmarkStart w:id="172" w:name="_Toc26554093"/>
      <w:bookmarkStart w:id="173" w:name="_Toc49090575"/>
      <w:r>
        <w:rPr>
          <w:rFonts w:hint="eastAsia" w:ascii="宋体" w:hAnsi="宋体" w:eastAsia="宋体" w:cs="宋体"/>
          <w:b/>
          <w:bCs/>
          <w:color w:val="auto"/>
          <w:sz w:val="24"/>
          <w:szCs w:val="24"/>
          <w:highlight w:val="none"/>
          <w:lang w:val="en-US" w:eastAsia="zh-CN" w:bidi="ar-SA"/>
        </w:rPr>
        <w:t>项目属性：货物类项目。</w:t>
      </w:r>
      <w:bookmarkEnd w:id="172"/>
      <w:bookmarkEnd w:id="173"/>
    </w:p>
    <w:p w14:paraId="36C6F57D">
      <w:pPr>
        <w:pageBreakBefore w:val="0"/>
        <w:tabs>
          <w:tab w:val="left" w:pos="0"/>
        </w:tabs>
        <w:kinsoku/>
        <w:wordWrap/>
        <w:overflowPunct/>
        <w:topLinePunct w:val="0"/>
        <w:autoSpaceDE/>
        <w:autoSpaceDN/>
        <w:bidi w:val="0"/>
        <w:adjustRightInd/>
        <w:snapToGrid/>
        <w:spacing w:line="440" w:lineRule="exact"/>
        <w:ind w:firstLine="482" w:firstLineChars="20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采购标的所属行业：工业。</w:t>
      </w:r>
    </w:p>
    <w:p w14:paraId="44D73216">
      <w:pPr>
        <w:keepNext/>
        <w:keepLines/>
        <w:pageBreakBefore w:val="0"/>
        <w:widowControl/>
        <w:kinsoku/>
        <w:wordWrap/>
        <w:overflowPunct/>
        <w:topLinePunct w:val="0"/>
        <w:autoSpaceDE/>
        <w:autoSpaceDN/>
        <w:bidi w:val="0"/>
        <w:adjustRightInd/>
        <w:snapToGrid/>
        <w:spacing w:line="440" w:lineRule="exact"/>
        <w:ind w:firstLine="482" w:firstLineChars="200"/>
        <w:jc w:val="left"/>
        <w:textAlignment w:val="baseline"/>
        <w:outlineLvl w:val="0"/>
        <w:rPr>
          <w:rFonts w:hint="eastAsia" w:ascii="宋体" w:hAnsi="宋体" w:eastAsia="宋体" w:cs="宋体"/>
          <w:b/>
          <w:bCs/>
          <w:color w:val="auto"/>
          <w:kern w:val="44"/>
          <w:sz w:val="24"/>
          <w:szCs w:val="24"/>
        </w:rPr>
      </w:pPr>
      <w:bookmarkStart w:id="174" w:name="_Toc112754463"/>
      <w:bookmarkStart w:id="175" w:name="_Toc45016786"/>
      <w:bookmarkStart w:id="176" w:name="_Toc21954"/>
      <w:bookmarkStart w:id="177" w:name="_Toc45016788"/>
      <w:bookmarkStart w:id="178" w:name="_Toc112754466"/>
      <w:r>
        <w:rPr>
          <w:rFonts w:hint="eastAsia" w:ascii="宋体" w:hAnsi="宋体" w:eastAsia="宋体" w:cs="宋体"/>
          <w:b/>
          <w:bCs/>
          <w:color w:val="auto"/>
          <w:kern w:val="44"/>
          <w:sz w:val="24"/>
          <w:szCs w:val="24"/>
        </w:rPr>
        <w:t>本次采购项目核心产品为：</w:t>
      </w:r>
      <w:r>
        <w:rPr>
          <w:rFonts w:hint="eastAsia" w:ascii="宋体" w:hAnsi="宋体" w:eastAsia="宋体" w:cs="宋体"/>
          <w:b/>
          <w:bCs/>
          <w:color w:val="auto"/>
          <w:kern w:val="44"/>
          <w:sz w:val="24"/>
          <w:szCs w:val="24"/>
          <w:lang w:val="en-US" w:eastAsia="zh-CN"/>
        </w:rPr>
        <w:t>倒计时</w:t>
      </w:r>
      <w:r>
        <w:rPr>
          <w:rFonts w:hint="eastAsia" w:ascii="宋体" w:hAnsi="宋体" w:eastAsia="宋体" w:cs="宋体"/>
          <w:b/>
          <w:bCs/>
          <w:color w:val="auto"/>
          <w:kern w:val="44"/>
          <w:sz w:val="24"/>
          <w:szCs w:val="24"/>
        </w:rPr>
        <w:t>。</w:t>
      </w:r>
    </w:p>
    <w:p w14:paraId="0043DF2D">
      <w:pPr>
        <w:keepNext/>
        <w:keepLines/>
        <w:pageBreakBefore w:val="0"/>
        <w:widowControl/>
        <w:kinsoku/>
        <w:wordWrap/>
        <w:overflowPunct/>
        <w:topLinePunct w:val="0"/>
        <w:autoSpaceDE/>
        <w:autoSpaceDN/>
        <w:bidi w:val="0"/>
        <w:adjustRightInd/>
        <w:snapToGrid/>
        <w:spacing w:line="440" w:lineRule="exact"/>
        <w:ind w:firstLine="482" w:firstLineChars="200"/>
        <w:jc w:val="left"/>
        <w:textAlignment w:val="baseline"/>
        <w:outlineLvl w:val="0"/>
        <w:rPr>
          <w:rFonts w:hint="eastAsia" w:ascii="宋体" w:hAnsi="宋体" w:eastAsia="宋体" w:cs="宋体"/>
          <w:bCs w:val="0"/>
          <w:color w:val="auto"/>
          <w:kern w:val="44"/>
          <w:sz w:val="24"/>
          <w:szCs w:val="24"/>
        </w:rPr>
      </w:pPr>
      <w:r>
        <w:rPr>
          <w:rFonts w:hint="eastAsia" w:ascii="宋体" w:hAnsi="宋体" w:eastAsia="宋体" w:cs="宋体"/>
          <w:b/>
          <w:bCs/>
          <w:color w:val="auto"/>
          <w:kern w:val="44"/>
          <w:sz w:val="24"/>
          <w:szCs w:val="24"/>
        </w:rPr>
        <w:t>一、</w:t>
      </w:r>
      <w:bookmarkEnd w:id="174"/>
      <w:bookmarkEnd w:id="175"/>
      <w:r>
        <w:rPr>
          <w:rFonts w:hint="eastAsia" w:ascii="宋体" w:hAnsi="宋体" w:eastAsia="宋体" w:cs="宋体"/>
          <w:b/>
          <w:bCs/>
          <w:color w:val="auto"/>
          <w:kern w:val="44"/>
          <w:sz w:val="24"/>
          <w:szCs w:val="24"/>
        </w:rPr>
        <w:t>概述</w:t>
      </w:r>
      <w:bookmarkEnd w:id="176"/>
    </w:p>
    <w:p w14:paraId="4FFA88B8">
      <w:pPr>
        <w:keepNext/>
        <w:keepLines/>
        <w:pageBreakBefore w:val="0"/>
        <w:widowControl/>
        <w:tabs>
          <w:tab w:val="left" w:pos="756"/>
        </w:tabs>
        <w:kinsoku/>
        <w:wordWrap/>
        <w:overflowPunct/>
        <w:topLinePunct w:val="0"/>
        <w:autoSpaceDE/>
        <w:autoSpaceDN/>
        <w:bidi w:val="0"/>
        <w:adjustRightInd/>
        <w:snapToGrid/>
        <w:spacing w:line="440" w:lineRule="exact"/>
        <w:ind w:firstLine="482" w:firstLineChars="200"/>
        <w:jc w:val="left"/>
        <w:outlineLvl w:val="1"/>
        <w:rPr>
          <w:rFonts w:hint="eastAsia" w:ascii="宋体" w:hAnsi="宋体" w:eastAsia="宋体" w:cs="宋体"/>
          <w:color w:val="auto"/>
          <w:kern w:val="2"/>
          <w:sz w:val="24"/>
          <w:szCs w:val="24"/>
          <w:lang w:val="en-US" w:eastAsia="zh-CN" w:bidi="ar-SA"/>
        </w:rPr>
      </w:pPr>
      <w:bookmarkStart w:id="179" w:name="_Toc1903"/>
      <w:r>
        <w:rPr>
          <w:rFonts w:hint="eastAsia" w:ascii="宋体" w:hAnsi="宋体" w:eastAsia="宋体" w:cs="宋体"/>
          <w:b/>
          <w:bCs/>
          <w:color w:val="auto"/>
          <w:kern w:val="2"/>
          <w:sz w:val="24"/>
          <w:szCs w:val="24"/>
          <w:lang w:val="en-US" w:eastAsia="zh-CN" w:bidi="ar-SA"/>
        </w:rPr>
        <w:t>1  项目名称</w:t>
      </w:r>
      <w:bookmarkEnd w:id="179"/>
    </w:p>
    <w:bookmarkEnd w:id="177"/>
    <w:bookmarkEnd w:id="178"/>
    <w:p w14:paraId="0EA567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rPr>
          <w:rFonts w:hint="eastAsia" w:ascii="宋体" w:hAnsi="宋体" w:eastAsia="宋体" w:cs="宋体"/>
          <w:color w:val="auto"/>
          <w:kern w:val="0"/>
          <w:sz w:val="24"/>
          <w:szCs w:val="24"/>
          <w:lang w:val="en-US" w:eastAsia="zh-CN" w:bidi="ar-SA"/>
        </w:rPr>
      </w:pPr>
      <w:bookmarkStart w:id="180" w:name="_Toc34124322"/>
      <w:bookmarkStart w:id="181" w:name="_Toc231810032"/>
      <w:bookmarkStart w:id="182" w:name="_Toc67654636"/>
      <w:bookmarkStart w:id="183" w:name="_Toc41038357"/>
      <w:r>
        <w:rPr>
          <w:rFonts w:hint="eastAsia" w:ascii="宋体" w:hAnsi="宋体" w:eastAsia="宋体" w:cs="宋体"/>
          <w:color w:val="auto"/>
          <w:kern w:val="2"/>
          <w:sz w:val="24"/>
          <w:szCs w:val="24"/>
          <w:lang w:val="en-US" w:eastAsia="zh-CN" w:bidi="ar"/>
        </w:rPr>
        <w:t>智慧公安-“亮剑一号”道路交通安全提升工程建设项目-亮剑一号工程</w:t>
      </w:r>
    </w:p>
    <w:p w14:paraId="2F504F92">
      <w:pPr>
        <w:keepNext/>
        <w:keepLines/>
        <w:pageBreakBefore w:val="0"/>
        <w:widowControl/>
        <w:tabs>
          <w:tab w:val="left" w:pos="756"/>
        </w:tabs>
        <w:kinsoku/>
        <w:wordWrap/>
        <w:overflowPunct/>
        <w:topLinePunct w:val="0"/>
        <w:autoSpaceDE/>
        <w:autoSpaceDN/>
        <w:bidi w:val="0"/>
        <w:adjustRightInd/>
        <w:snapToGrid/>
        <w:spacing w:line="440" w:lineRule="exact"/>
        <w:ind w:firstLine="482" w:firstLineChars="200"/>
        <w:jc w:val="left"/>
        <w:outlineLvl w:val="1"/>
        <w:rPr>
          <w:rFonts w:hint="eastAsia" w:ascii="宋体" w:hAnsi="宋体" w:eastAsia="宋体" w:cs="宋体"/>
          <w:b/>
          <w:bCs/>
          <w:color w:val="auto"/>
          <w:kern w:val="2"/>
          <w:sz w:val="24"/>
          <w:szCs w:val="24"/>
          <w:lang w:val="en-US" w:eastAsia="zh-CN" w:bidi="ar-SA"/>
        </w:rPr>
      </w:pPr>
      <w:bookmarkStart w:id="184" w:name="_Toc20609"/>
      <w:r>
        <w:rPr>
          <w:rFonts w:hint="eastAsia" w:ascii="宋体" w:hAnsi="宋体" w:eastAsia="宋体" w:cs="宋体"/>
          <w:b/>
          <w:bCs/>
          <w:color w:val="auto"/>
          <w:kern w:val="2"/>
          <w:sz w:val="24"/>
          <w:szCs w:val="24"/>
          <w:lang w:val="en-US" w:eastAsia="zh-CN" w:bidi="ar-SA"/>
        </w:rPr>
        <w:t>2  项目建设单位</w:t>
      </w:r>
      <w:bookmarkEnd w:id="184"/>
    </w:p>
    <w:p w14:paraId="49D9668B">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盐城市公安局大丰分局</w:t>
      </w:r>
    </w:p>
    <w:p w14:paraId="797318AE">
      <w:pPr>
        <w:keepNext/>
        <w:keepLines/>
        <w:pageBreakBefore w:val="0"/>
        <w:widowControl/>
        <w:tabs>
          <w:tab w:val="left" w:pos="756"/>
        </w:tabs>
        <w:kinsoku/>
        <w:wordWrap/>
        <w:overflowPunct/>
        <w:topLinePunct w:val="0"/>
        <w:autoSpaceDE/>
        <w:autoSpaceDN/>
        <w:bidi w:val="0"/>
        <w:adjustRightInd/>
        <w:snapToGrid/>
        <w:spacing w:line="440" w:lineRule="exact"/>
        <w:ind w:firstLine="482" w:firstLineChars="200"/>
        <w:jc w:val="left"/>
        <w:outlineLvl w:val="1"/>
        <w:rPr>
          <w:rFonts w:hint="eastAsia" w:ascii="宋体" w:hAnsi="宋体" w:eastAsia="宋体" w:cs="宋体"/>
          <w:color w:val="auto"/>
          <w:kern w:val="2"/>
          <w:sz w:val="24"/>
          <w:szCs w:val="24"/>
          <w:lang w:val="en-US" w:eastAsia="zh-CN" w:bidi="ar-SA"/>
        </w:rPr>
      </w:pPr>
      <w:bookmarkStart w:id="185" w:name="_Toc15792"/>
      <w:r>
        <w:rPr>
          <w:rFonts w:hint="eastAsia" w:ascii="宋体" w:hAnsi="宋体" w:eastAsia="宋体" w:cs="宋体"/>
          <w:b/>
          <w:bCs/>
          <w:color w:val="auto"/>
          <w:kern w:val="2"/>
          <w:sz w:val="24"/>
          <w:szCs w:val="24"/>
          <w:lang w:val="en-US" w:eastAsia="zh-CN" w:bidi="ar-SA"/>
        </w:rPr>
        <w:t>3  设计方案和投资概算编制单位</w:t>
      </w:r>
      <w:bookmarkEnd w:id="185"/>
    </w:p>
    <w:p w14:paraId="2ED240B7">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中通服咨询设计研究院有限公司</w:t>
      </w:r>
    </w:p>
    <w:p w14:paraId="080356F9">
      <w:pPr>
        <w:keepNext/>
        <w:keepLines/>
        <w:pageBreakBefore w:val="0"/>
        <w:widowControl/>
        <w:tabs>
          <w:tab w:val="left" w:pos="756"/>
        </w:tabs>
        <w:kinsoku/>
        <w:wordWrap/>
        <w:overflowPunct/>
        <w:topLinePunct w:val="0"/>
        <w:autoSpaceDE/>
        <w:autoSpaceDN/>
        <w:bidi w:val="0"/>
        <w:adjustRightInd/>
        <w:snapToGrid/>
        <w:spacing w:line="440" w:lineRule="exact"/>
        <w:ind w:firstLine="482" w:firstLineChars="200"/>
        <w:jc w:val="left"/>
        <w:outlineLvl w:val="1"/>
        <w:rPr>
          <w:rFonts w:hint="eastAsia" w:ascii="宋体" w:hAnsi="宋体" w:eastAsia="宋体" w:cs="宋体"/>
          <w:color w:val="auto"/>
          <w:kern w:val="2"/>
          <w:sz w:val="24"/>
          <w:szCs w:val="24"/>
          <w:lang w:val="en-US" w:eastAsia="zh-CN" w:bidi="ar-SA"/>
        </w:rPr>
      </w:pPr>
      <w:bookmarkStart w:id="186" w:name="_Toc13538"/>
      <w:r>
        <w:rPr>
          <w:rFonts w:hint="eastAsia" w:ascii="宋体" w:hAnsi="宋体" w:eastAsia="宋体" w:cs="宋体"/>
          <w:b/>
          <w:bCs/>
          <w:color w:val="auto"/>
          <w:kern w:val="2"/>
          <w:sz w:val="24"/>
          <w:szCs w:val="24"/>
          <w:lang w:val="en-US" w:eastAsia="zh-CN" w:bidi="ar-SA"/>
        </w:rPr>
        <w:t>4  设计方案及投资概算编制依据</w:t>
      </w:r>
      <w:bookmarkEnd w:id="186"/>
    </w:p>
    <w:p w14:paraId="0548075F">
      <w:pPr>
        <w:keepNext/>
        <w:keepLines/>
        <w:pageBreakBefore w:val="0"/>
        <w:widowControl/>
        <w:kinsoku/>
        <w:wordWrap/>
        <w:overflowPunct/>
        <w:topLinePunct w:val="0"/>
        <w:autoSpaceDE/>
        <w:autoSpaceDN/>
        <w:bidi w:val="0"/>
        <w:adjustRightInd/>
        <w:snapToGrid/>
        <w:spacing w:line="440" w:lineRule="exact"/>
        <w:ind w:firstLine="482" w:firstLineChars="200"/>
        <w:jc w:val="left"/>
        <w:outlineLvl w:val="2"/>
        <w:rPr>
          <w:rFonts w:hint="eastAsia" w:ascii="宋体" w:hAnsi="宋体" w:eastAsia="宋体" w:cs="宋体"/>
          <w:color w:val="auto"/>
          <w:kern w:val="2"/>
          <w:sz w:val="24"/>
          <w:szCs w:val="24"/>
          <w:lang w:val="en-US" w:eastAsia="zh-CN" w:bidi="ar-SA"/>
        </w:rPr>
      </w:pPr>
      <w:bookmarkStart w:id="187" w:name="_Toc2874"/>
      <w:r>
        <w:rPr>
          <w:rFonts w:hint="eastAsia" w:ascii="宋体" w:hAnsi="宋体" w:eastAsia="宋体" w:cs="宋体"/>
          <w:b/>
          <w:bCs/>
          <w:color w:val="auto"/>
          <w:kern w:val="2"/>
          <w:sz w:val="24"/>
          <w:szCs w:val="24"/>
          <w:lang w:val="en-US" w:eastAsia="zh-CN" w:bidi="ar-SA"/>
        </w:rPr>
        <w:t>4.1  设计编制依据</w:t>
      </w:r>
      <w:bookmarkEnd w:id="187"/>
    </w:p>
    <w:p w14:paraId="2A8ACE17">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依据国家相关法律规章、国家和行业相关标准、相关研究成果等资料进行本设计，具体如下：</w:t>
      </w:r>
    </w:p>
    <w:p w14:paraId="1D966B9D">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《全国主干公路交通安全防控体系三年规划》</w:t>
      </w:r>
    </w:p>
    <w:p w14:paraId="4361A768">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《中华人民共和国道路交通安全法》2011年5月1日</w:t>
      </w:r>
    </w:p>
    <w:p w14:paraId="24253CC4">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《交通技术监控成像补光装置通用技术条件》（GA/T 1202-2022）</w:t>
      </w:r>
    </w:p>
    <w:p w14:paraId="4642C86B">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《中华人民共和国公路法》2016年11月7日</w:t>
      </w:r>
    </w:p>
    <w:p w14:paraId="25BE6B7A">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《道路危险货物运输管理规定》交通运输部令2016年第36号</w:t>
      </w:r>
    </w:p>
    <w:p w14:paraId="64D3D476">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《道路运输车辆动态监督管理办法》交通运输部令2016年第55号</w:t>
      </w:r>
    </w:p>
    <w:p w14:paraId="7FD95F09">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《全国公安机关图像信息联网总体技术方案》</w:t>
      </w:r>
    </w:p>
    <w:p w14:paraId="2B2BDC26">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《公安交通集成指挥平台结构和功能》(GA/T1146)</w:t>
      </w:r>
    </w:p>
    <w:p w14:paraId="2AA5F480">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《公安交通集成指挥平台通讯协议》(GA/T1049)</w:t>
      </w:r>
    </w:p>
    <w:p w14:paraId="651DD820">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《公安交通指挥系统建设技术规范》(GA/T445)</w:t>
      </w:r>
    </w:p>
    <w:p w14:paraId="0AEF1376">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《公安交通指挥系统工程建设通用程序和要求》(GA/T651)</w:t>
      </w:r>
    </w:p>
    <w:p w14:paraId="0E443531">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《安全防范视频监控联网系统传输、交换、控制技术要求》(GB/T28181-2011)</w:t>
      </w:r>
    </w:p>
    <w:p w14:paraId="5EDA81F2">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《视频安防监控系统技术要求》(GA/T367-2001)</w:t>
      </w:r>
    </w:p>
    <w:p w14:paraId="4CB9C19C">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《道路交通信息监测记录设备设置规范》(GA/T1047)</w:t>
      </w:r>
    </w:p>
    <w:p w14:paraId="1F4BC0FC">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《公路车辆智能监测记录系统通用技术条件》(GA/T497)</w:t>
      </w:r>
    </w:p>
    <w:p w14:paraId="2CFBD313">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《道路通行状态信息发布规范》(GA/T994)</w:t>
      </w:r>
    </w:p>
    <w:p w14:paraId="363896AA">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《公安车载应急通信系统技术规范》(GA/T528)</w:t>
      </w:r>
    </w:p>
    <w:p w14:paraId="49E25891">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《道路交通违法管理信息代码》(GA408)</w:t>
      </w:r>
    </w:p>
    <w:p w14:paraId="02281BC9">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《公安交通管理信息系统安全防范体系建设规范》</w:t>
      </w:r>
    </w:p>
    <w:p w14:paraId="1199181C">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《公安信息通信网边界接入平台安全规范》</w:t>
      </w:r>
    </w:p>
    <w:p w14:paraId="633EC218">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《信息安全技术信息系统灾难恢复规范》</w:t>
      </w:r>
    </w:p>
    <w:p w14:paraId="7D4027AA">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《全国公安交通管理信息系统安全备份建设指导意见》</w:t>
      </w:r>
    </w:p>
    <w:p w14:paraId="742DB90E">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《安全防范监控数字视音频编解码技术要求》(GB/T27524-2010)</w:t>
      </w:r>
    </w:p>
    <w:p w14:paraId="4A96A0F1">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《安全防范视频监控联网系统信息传输、交换、控制技术要求》（GB/T28181-2011）</w:t>
      </w:r>
    </w:p>
    <w:p w14:paraId="708BBF9D">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《城市道路交通规划设计规范》（GB50220-2005）</w:t>
      </w:r>
    </w:p>
    <w:p w14:paraId="1EB8046C">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《城镇道路路面设计规范》（CJJ 169-2012）</w:t>
      </w:r>
    </w:p>
    <w:p w14:paraId="75FDFEE2">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《城市道路交通设施设计规范》（GB50688-2011）</w:t>
      </w:r>
    </w:p>
    <w:p w14:paraId="648CF0AF">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《电气装置安装工程电缆线路施工及验收规范》（GB501168-92）</w:t>
      </w:r>
    </w:p>
    <w:p w14:paraId="57FA72B5">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《低压配电装置及线路设计规范》（GB50054-2011）</w:t>
      </w:r>
    </w:p>
    <w:p w14:paraId="59F8DD03">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《电器装置安装工程电缆线路施工及验收规范》（GB50168-2002）</w:t>
      </w:r>
    </w:p>
    <w:p w14:paraId="0AA1183D">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《电器装置安装工程接地装置施工及验收规范》（GB50169-2002）</w:t>
      </w:r>
    </w:p>
    <w:p w14:paraId="12D04995">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《安全防范工作工作技术》GB50348-2004</w:t>
      </w:r>
    </w:p>
    <w:p w14:paraId="76273109">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《智能运输系统通用术语》（GB/T20839-2007）</w:t>
      </w:r>
    </w:p>
    <w:p w14:paraId="129F26C3">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《智能运输系统数据字典要求》（GB/T20606-2006）</w:t>
      </w:r>
    </w:p>
    <w:p w14:paraId="3F6F2F1F">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《智能运输系统体系结构服务》（GB/T20607-2006）</w:t>
      </w:r>
    </w:p>
    <w:p w14:paraId="1F8189CC">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《机动车测速仪》（GB/T 21255-2007 ）</w:t>
      </w:r>
    </w:p>
    <w:p w14:paraId="1085758B">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《机动车区间测速技术规范》（GA/T 959-2011） </w:t>
      </w:r>
    </w:p>
    <w:p w14:paraId="7106898B">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《道路交通信息采集信息分类与编码》（GB/T20133-2006）</w:t>
      </w:r>
    </w:p>
    <w:p w14:paraId="5E6301D3">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《道路交通信息采集事件信息集》（GB/T20134-2006）</w:t>
      </w:r>
    </w:p>
    <w:p w14:paraId="42EA2AD3">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《软件包质量要求和测试》（GB/T－17511）</w:t>
      </w:r>
    </w:p>
    <w:p w14:paraId="4117B707">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《计算机信息系统安全保护等级划分准则》（GB 17859-1999）</w:t>
      </w:r>
    </w:p>
    <w:p w14:paraId="27720B1A">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《公安交通指挥系统建设技术规范》（GA/T445-2010）</w:t>
      </w:r>
    </w:p>
    <w:p w14:paraId="783B572B">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《城市警用地理信息系统分类与代码》（GA/T491）</w:t>
      </w:r>
    </w:p>
    <w:p w14:paraId="1A3614AE">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《城市警用地理信息系统图形符号》（GA/T492）</w:t>
      </w:r>
    </w:p>
    <w:p w14:paraId="5B7B0B44">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《城市警用地理信息系统建设规范》（GA/T493）</w:t>
      </w:r>
    </w:p>
    <w:p w14:paraId="6358BBF7">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《道路交通安全违法行为图像取证技术规范》（GA/T832-2014）</w:t>
      </w:r>
    </w:p>
    <w:p w14:paraId="3D72F3C3">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《机动车号牌图像自动识别技术规范》（GA/T833—2009）</w:t>
      </w:r>
    </w:p>
    <w:p w14:paraId="33604709">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《安全防范系统验收规范》GA308-2001</w:t>
      </w:r>
    </w:p>
    <w:p w14:paraId="723B69E7">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《安全防范系统通用图形符号》GA\T74-2000</w:t>
      </w:r>
    </w:p>
    <w:p w14:paraId="61472D0E">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《安全防范工程程序与要求》 GA\T74-1994</w:t>
      </w:r>
    </w:p>
    <w:p w14:paraId="2C7817FB">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《安全防范工程费用预算编制办法》 GA\T70-2004</w:t>
      </w:r>
    </w:p>
    <w:p w14:paraId="23405041">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《城市监控报警联网系统通用技术要求》GA/T669-2006</w:t>
      </w:r>
    </w:p>
    <w:p w14:paraId="56BB0AAA">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《安全防范系统雷电浪涌防护技术要求》GA/T670-2006</w:t>
      </w:r>
    </w:p>
    <w:p w14:paraId="4CB65F26">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《城市交通信号控制系统术语》（GA/T509-2004）</w:t>
      </w:r>
    </w:p>
    <w:p w14:paraId="709DFA61">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《公安交通指挥系统设计规范》（GA/T515-2011）</w:t>
      </w:r>
    </w:p>
    <w:p w14:paraId="79347B0F">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《警用电子地图坐标系与比例尺》（GA/T629-2006）</w:t>
      </w:r>
    </w:p>
    <w:p w14:paraId="5D40F3A9">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《城市警用地理信息空间数据质量》（GA/T628-2006）</w:t>
      </w:r>
    </w:p>
    <w:p w14:paraId="7FC91A64">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《城市警用地理信息数据采集与更新规范》（GA/T627-2006）</w:t>
      </w:r>
    </w:p>
    <w:p w14:paraId="313CEBC6">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《信息安全管理实用规则》（ISO/IEC17799）</w:t>
      </w:r>
    </w:p>
    <w:p w14:paraId="5CA2CDC6">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《计算机软件开发规范》（GB8566-88）</w:t>
      </w:r>
    </w:p>
    <w:p w14:paraId="008B7327">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《信息技术开放系统互连网络层安全协议》（GB/T17963）</w:t>
      </w:r>
    </w:p>
    <w:p w14:paraId="3484D7F5">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《电子计算机机房设计规范》(GB50174-2007)</w:t>
      </w:r>
    </w:p>
    <w:p w14:paraId="0930ED46">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《视频安防监控系统技术要求》（GA/T367）</w:t>
      </w:r>
    </w:p>
    <w:p w14:paraId="14B6D666">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《社会治安动态视频监控系统技术规范》（DB33/T502—2004）</w:t>
      </w:r>
    </w:p>
    <w:p w14:paraId="2B27E5C1">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《信息标准-计算机信息系统安全等》(GA216.1—1999)</w:t>
      </w:r>
    </w:p>
    <w:p w14:paraId="718D22C9">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《城市交通信号控制系统术语》（GA/T 509-2004）</w:t>
      </w:r>
    </w:p>
    <w:p w14:paraId="79DA9FAD">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《公安视频图像信息应用系统第1部分：通用技术要求》（GAT 1400.1-2017）</w:t>
      </w:r>
    </w:p>
    <w:p w14:paraId="52A5836F">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《公安视频图像信息应用系统第2部分：应用平台技术要求》（GAT 1400.2-2017）</w:t>
      </w:r>
    </w:p>
    <w:p w14:paraId="5F69C93C">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《公安视频图像信息应用系统第3部分：数据库技术要求》（GAT 1400.3-2017）</w:t>
      </w:r>
    </w:p>
    <w:p w14:paraId="06B6B045">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《公安视频图像信息应用系统第4部分：接口协议要求》（GAT 1400.4-2017）</w:t>
      </w:r>
    </w:p>
    <w:p w14:paraId="09F074E9">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《公安视频图像分析系统第1部分通用技术要求》（GAT1399.1-2017）</w:t>
      </w:r>
    </w:p>
    <w:p w14:paraId="4ADD9D6D">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《公安视频图像分析系统第2部分视频图像内容分析及描述技术要求》（GAT 1399.2-2017）</w:t>
      </w:r>
    </w:p>
    <w:p w14:paraId="0CBA7863">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rPr>
        <w:t>限于篇幅，此处列举部分依据，除上述规范以外，遵循国家现行的规范和标准要求</w:t>
      </w:r>
      <w:r>
        <w:rPr>
          <w:rFonts w:hint="eastAsia" w:ascii="宋体" w:hAnsi="宋体" w:eastAsia="宋体" w:cs="宋体"/>
          <w:color w:val="auto"/>
          <w:kern w:val="2"/>
          <w:sz w:val="24"/>
          <w:szCs w:val="24"/>
          <w:lang w:eastAsia="zh-CN"/>
        </w:rPr>
        <w:t>。</w:t>
      </w:r>
    </w:p>
    <w:p w14:paraId="667D734C">
      <w:pPr>
        <w:keepNext/>
        <w:keepLines/>
        <w:pageBreakBefore w:val="0"/>
        <w:widowControl/>
        <w:kinsoku/>
        <w:wordWrap/>
        <w:overflowPunct/>
        <w:topLinePunct w:val="0"/>
        <w:autoSpaceDE/>
        <w:autoSpaceDN/>
        <w:bidi w:val="0"/>
        <w:adjustRightInd/>
        <w:snapToGrid/>
        <w:spacing w:line="440" w:lineRule="exact"/>
        <w:ind w:firstLine="482" w:firstLineChars="200"/>
        <w:jc w:val="left"/>
        <w:outlineLvl w:val="2"/>
        <w:rPr>
          <w:rFonts w:hint="eastAsia" w:ascii="宋体" w:hAnsi="宋体" w:eastAsia="宋体" w:cs="宋体"/>
          <w:color w:val="auto"/>
          <w:kern w:val="2"/>
          <w:sz w:val="24"/>
          <w:szCs w:val="24"/>
          <w:lang w:val="en-US" w:eastAsia="zh-CN" w:bidi="ar-SA"/>
        </w:rPr>
      </w:pPr>
      <w:bookmarkStart w:id="188" w:name="_Toc11223"/>
      <w:r>
        <w:rPr>
          <w:rFonts w:hint="eastAsia" w:ascii="宋体" w:hAnsi="宋体" w:eastAsia="宋体" w:cs="宋体"/>
          <w:b/>
          <w:bCs/>
          <w:color w:val="auto"/>
          <w:kern w:val="2"/>
          <w:sz w:val="24"/>
          <w:szCs w:val="24"/>
          <w:lang w:val="en-US" w:eastAsia="zh-CN" w:bidi="ar-SA"/>
        </w:rPr>
        <w:t>4.2  设计编制依据</w:t>
      </w:r>
      <w:bookmarkEnd w:id="188"/>
    </w:p>
    <w:p w14:paraId="3CA02695">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（1）江苏省住房和城乡建设厅《江苏省建设工程费用定额（2014年）》（苏建价【2014】299号）</w:t>
      </w:r>
    </w:p>
    <w:p w14:paraId="7C3F403E">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（2）住房和城乡建设部办公厅《关于做好建筑业营改增建设工程计价依据调整准备工作的通知》（建办标【2016】4号）</w:t>
      </w:r>
    </w:p>
    <w:p w14:paraId="1A62F992">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（3）江苏省住房和城乡建设厅《关于建筑业实施营改增后江苏省建设工程计价依据调整的通知》（苏建价【2016】154号）</w:t>
      </w:r>
    </w:p>
    <w:p w14:paraId="4DE6C955">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（4）江苏省住房和城乡建设厅《关于发布建设工程人工工资指导价的通知》（苏建函价【2019】142号）</w:t>
      </w:r>
    </w:p>
    <w:p w14:paraId="78282647">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（5）财政部、国家安全生产监督管理总局《企业安全生产费用提取和使用管理办法》（财企【2012】16号）</w:t>
      </w:r>
    </w:p>
    <w:p w14:paraId="4A7ABA33">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（6）财政部《基本建设项目建设成本规定》（财建【2016年】504号）</w:t>
      </w:r>
    </w:p>
    <w:p w14:paraId="1073215D">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（7）建设单位下发的关于本工程的概算编制的意见。</w:t>
      </w:r>
    </w:p>
    <w:p w14:paraId="1A106861">
      <w:pPr>
        <w:keepNext/>
        <w:keepLines/>
        <w:pageBreakBefore w:val="0"/>
        <w:widowControl/>
        <w:tabs>
          <w:tab w:val="left" w:pos="756"/>
        </w:tabs>
        <w:kinsoku/>
        <w:wordWrap/>
        <w:overflowPunct/>
        <w:topLinePunct w:val="0"/>
        <w:autoSpaceDE/>
        <w:autoSpaceDN/>
        <w:bidi w:val="0"/>
        <w:adjustRightInd/>
        <w:snapToGrid/>
        <w:spacing w:line="440" w:lineRule="exact"/>
        <w:ind w:firstLine="482" w:firstLineChars="200"/>
        <w:jc w:val="left"/>
        <w:outlineLvl w:val="1"/>
        <w:rPr>
          <w:rFonts w:hint="eastAsia" w:ascii="宋体" w:hAnsi="宋体" w:eastAsia="宋体" w:cs="宋体"/>
          <w:color w:val="auto"/>
          <w:kern w:val="2"/>
          <w:sz w:val="24"/>
          <w:szCs w:val="24"/>
          <w:lang w:val="en-US" w:eastAsia="zh-CN" w:bidi="ar-SA"/>
        </w:rPr>
      </w:pPr>
      <w:bookmarkStart w:id="189" w:name="_Toc6344"/>
      <w:r>
        <w:rPr>
          <w:rFonts w:hint="eastAsia" w:ascii="宋体" w:hAnsi="宋体" w:eastAsia="宋体" w:cs="宋体"/>
          <w:b/>
          <w:bCs/>
          <w:color w:val="auto"/>
          <w:kern w:val="2"/>
          <w:sz w:val="24"/>
          <w:szCs w:val="24"/>
          <w:lang w:val="en-US" w:eastAsia="zh-CN" w:bidi="ar-SA"/>
        </w:rPr>
        <w:t>5  项目建设目标、规模、内容、工程合理使用年限</w:t>
      </w:r>
      <w:bookmarkEnd w:id="189"/>
    </w:p>
    <w:p w14:paraId="713FE654">
      <w:pPr>
        <w:keepNext/>
        <w:keepLines/>
        <w:pageBreakBefore w:val="0"/>
        <w:widowControl/>
        <w:kinsoku/>
        <w:wordWrap/>
        <w:overflowPunct/>
        <w:topLinePunct w:val="0"/>
        <w:autoSpaceDE/>
        <w:autoSpaceDN/>
        <w:bidi w:val="0"/>
        <w:adjustRightInd/>
        <w:snapToGrid/>
        <w:spacing w:line="440" w:lineRule="exact"/>
        <w:ind w:firstLine="482" w:firstLineChars="200"/>
        <w:jc w:val="left"/>
        <w:outlineLvl w:val="2"/>
        <w:rPr>
          <w:rFonts w:hint="eastAsia" w:ascii="宋体" w:hAnsi="宋体" w:eastAsia="宋体" w:cs="宋体"/>
          <w:color w:val="auto"/>
          <w:kern w:val="2"/>
          <w:sz w:val="24"/>
          <w:szCs w:val="24"/>
          <w:lang w:val="en-US" w:eastAsia="zh-CN" w:bidi="ar-SA"/>
        </w:rPr>
      </w:pPr>
      <w:bookmarkStart w:id="190" w:name="_Toc30859"/>
      <w:r>
        <w:rPr>
          <w:rFonts w:hint="eastAsia" w:ascii="宋体" w:hAnsi="宋体" w:eastAsia="宋体" w:cs="宋体"/>
          <w:b/>
          <w:bCs/>
          <w:color w:val="auto"/>
          <w:kern w:val="2"/>
          <w:sz w:val="24"/>
          <w:szCs w:val="24"/>
          <w:lang w:val="en-US" w:eastAsia="zh-CN" w:bidi="ar-SA"/>
        </w:rPr>
        <w:t>5.1  建设目标</w:t>
      </w:r>
      <w:bookmarkEnd w:id="190"/>
    </w:p>
    <w:p w14:paraId="3F24C3D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以科技为手段，打造安全、畅通的道路通行环境。</w:t>
      </w:r>
    </w:p>
    <w:p w14:paraId="246860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优化信号灯系统，对过保的110个灯控路口信号灯系统线路整改，其中包含对30个路口非标信号灯进行摸排更换，保证信号灯系统稳定工作，确保路口交通安全。</w:t>
      </w:r>
    </w:p>
    <w:p w14:paraId="3F51CD4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新建大丰工业园区30个电子警察路口，采用“AI+深度学习”的理念和技术，提升对目标的捕获率、检出率，规范路口行车安全。</w:t>
      </w:r>
    </w:p>
    <w:p w14:paraId="38A8E79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本着“科技向善，安全出行”的愿景，为公众出行提供更智能、更有效、更人文的新一代道路安全系统。以科技为手段，打造安全、畅通道路通行环境。</w:t>
      </w:r>
    </w:p>
    <w:p w14:paraId="4DFF9693">
      <w:pPr>
        <w:keepNext/>
        <w:keepLines/>
        <w:pageBreakBefore w:val="0"/>
        <w:widowControl/>
        <w:kinsoku/>
        <w:wordWrap/>
        <w:overflowPunct/>
        <w:topLinePunct w:val="0"/>
        <w:autoSpaceDE/>
        <w:autoSpaceDN/>
        <w:bidi w:val="0"/>
        <w:adjustRightInd/>
        <w:snapToGrid/>
        <w:spacing w:line="440" w:lineRule="exact"/>
        <w:ind w:firstLine="482" w:firstLineChars="200"/>
        <w:jc w:val="left"/>
        <w:outlineLvl w:val="2"/>
        <w:rPr>
          <w:rFonts w:hint="eastAsia" w:ascii="宋体" w:hAnsi="宋体" w:eastAsia="宋体" w:cs="宋体"/>
          <w:color w:val="auto"/>
          <w:kern w:val="2"/>
          <w:sz w:val="24"/>
          <w:szCs w:val="24"/>
          <w:lang w:val="en-US" w:eastAsia="zh-CN" w:bidi="ar-SA"/>
        </w:rPr>
      </w:pPr>
      <w:bookmarkStart w:id="191" w:name="_Toc27819"/>
      <w:r>
        <w:rPr>
          <w:rFonts w:hint="eastAsia" w:ascii="宋体" w:hAnsi="宋体" w:eastAsia="宋体" w:cs="宋体"/>
          <w:b/>
          <w:bCs/>
          <w:color w:val="auto"/>
          <w:kern w:val="2"/>
          <w:sz w:val="24"/>
          <w:szCs w:val="24"/>
          <w:lang w:val="en-US" w:eastAsia="zh-CN" w:bidi="ar-SA"/>
        </w:rPr>
        <w:t>5.2  建设规模、内容</w:t>
      </w:r>
      <w:bookmarkEnd w:id="191"/>
    </w:p>
    <w:p w14:paraId="2BA0F0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对全区110个灯控路口信号灯设施进行管网、线路维修等；30个路口非标信号灯更换；在30个灯控路口新建电警卡口前端设备；扩容346路人脸人体算法授权；扩容1200路车辆全属性解析算法授权。</w:t>
      </w:r>
    </w:p>
    <w:p w14:paraId="6739C334">
      <w:pPr>
        <w:keepNext/>
        <w:keepLines/>
        <w:pageBreakBefore w:val="0"/>
        <w:widowControl/>
        <w:kinsoku/>
        <w:wordWrap/>
        <w:overflowPunct/>
        <w:topLinePunct w:val="0"/>
        <w:autoSpaceDE/>
        <w:autoSpaceDN/>
        <w:bidi w:val="0"/>
        <w:adjustRightInd/>
        <w:snapToGrid/>
        <w:spacing w:line="440" w:lineRule="exact"/>
        <w:ind w:firstLine="482" w:firstLineChars="200"/>
        <w:jc w:val="left"/>
        <w:outlineLvl w:val="2"/>
        <w:rPr>
          <w:rFonts w:hint="eastAsia" w:ascii="宋体" w:hAnsi="宋体" w:eastAsia="宋体" w:cs="宋体"/>
          <w:color w:val="auto"/>
          <w:kern w:val="2"/>
          <w:sz w:val="24"/>
          <w:szCs w:val="24"/>
          <w:lang w:val="en-US" w:eastAsia="zh-CN" w:bidi="ar-SA"/>
        </w:rPr>
      </w:pPr>
      <w:bookmarkStart w:id="192" w:name="_Toc131"/>
      <w:r>
        <w:rPr>
          <w:rFonts w:hint="eastAsia" w:ascii="宋体" w:hAnsi="宋体" w:eastAsia="宋体" w:cs="宋体"/>
          <w:b/>
          <w:bCs/>
          <w:color w:val="auto"/>
          <w:kern w:val="2"/>
          <w:sz w:val="24"/>
          <w:szCs w:val="24"/>
          <w:lang w:val="en-US" w:eastAsia="zh-CN" w:bidi="ar-SA"/>
        </w:rPr>
        <w:t>5.3  工程满足期和工程合理使用年限</w:t>
      </w:r>
      <w:bookmarkEnd w:id="192"/>
    </w:p>
    <w:p w14:paraId="61F71F2A">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工程合理使用年限为5年。</w:t>
      </w:r>
    </w:p>
    <w:bookmarkEnd w:id="180"/>
    <w:bookmarkEnd w:id="181"/>
    <w:bookmarkEnd w:id="182"/>
    <w:bookmarkEnd w:id="183"/>
    <w:p w14:paraId="38A35DBF">
      <w:pPr>
        <w:keepNext/>
        <w:keepLines/>
        <w:pageBreakBefore w:val="0"/>
        <w:widowControl/>
        <w:numPr>
          <w:ilvl w:val="0"/>
          <w:numId w:val="0"/>
        </w:numPr>
        <w:kinsoku/>
        <w:wordWrap/>
        <w:overflowPunct/>
        <w:topLinePunct w:val="0"/>
        <w:autoSpaceDE/>
        <w:autoSpaceDN/>
        <w:bidi w:val="0"/>
        <w:adjustRightInd/>
        <w:snapToGrid/>
        <w:spacing w:line="440" w:lineRule="exact"/>
        <w:ind w:firstLine="482" w:firstLineChars="200"/>
        <w:jc w:val="left"/>
        <w:textAlignment w:val="baseline"/>
        <w:outlineLvl w:val="0"/>
        <w:rPr>
          <w:rFonts w:hint="eastAsia" w:ascii="宋体" w:hAnsi="宋体" w:eastAsia="宋体" w:cs="宋体"/>
          <w:bCs w:val="0"/>
          <w:color w:val="auto"/>
          <w:kern w:val="44"/>
          <w:sz w:val="24"/>
          <w:szCs w:val="24"/>
          <w:lang w:val="en-US" w:eastAsia="zh-CN" w:bidi="ar-SA"/>
        </w:rPr>
      </w:pPr>
      <w:bookmarkStart w:id="193" w:name="_Toc13569"/>
      <w:r>
        <w:rPr>
          <w:rFonts w:hint="eastAsia" w:ascii="宋体" w:hAnsi="宋体" w:eastAsia="宋体" w:cs="宋体"/>
          <w:b/>
          <w:bCs/>
          <w:color w:val="auto"/>
          <w:kern w:val="44"/>
          <w:sz w:val="24"/>
          <w:szCs w:val="24"/>
          <w:lang w:val="en-US" w:eastAsia="zh-CN" w:bidi="ar-SA"/>
        </w:rPr>
        <w:t>二、需求分析</w:t>
      </w:r>
      <w:bookmarkEnd w:id="193"/>
    </w:p>
    <w:p w14:paraId="077C90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2" w:firstLineChars="200"/>
        <w:jc w:val="left"/>
        <w:rPr>
          <w:rFonts w:hint="eastAsia" w:ascii="宋体" w:hAnsi="宋体" w:eastAsia="宋体" w:cs="宋体"/>
          <w:color w:val="auto"/>
          <w:kern w:val="0"/>
          <w:sz w:val="24"/>
          <w:szCs w:val="24"/>
          <w:lang w:val="en-US" w:eastAsia="zh-CN" w:bidi="ar-SA"/>
        </w:rPr>
      </w:pPr>
      <w:r>
        <w:rPr>
          <w:rFonts w:hint="eastAsia" w:ascii="宋体" w:hAnsi="宋体" w:eastAsia="宋体" w:cs="宋体"/>
          <w:b/>
          <w:bCs/>
          <w:color w:val="auto"/>
          <w:kern w:val="2"/>
          <w:sz w:val="24"/>
          <w:szCs w:val="24"/>
          <w:lang w:val="en-US" w:eastAsia="zh-CN" w:bidi="ar"/>
        </w:rPr>
        <w:t>交通安全提升</w:t>
      </w:r>
      <w:r>
        <w:rPr>
          <w:rFonts w:hint="eastAsia" w:ascii="宋体" w:hAnsi="宋体" w:eastAsia="宋体" w:cs="宋体"/>
          <w:color w:val="auto"/>
          <w:kern w:val="2"/>
          <w:sz w:val="24"/>
          <w:szCs w:val="24"/>
          <w:lang w:val="en-US" w:eastAsia="zh-CN" w:bidi="ar"/>
        </w:rPr>
        <w:t>，本次系列项目可有效完善交通事故高发、易发路口的交安设施（信号灯系统），减少交通事故的发生量及控制重大交通发生，有效提升全区的交通安全性。</w:t>
      </w:r>
    </w:p>
    <w:p w14:paraId="2E1BD8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482" w:firstLineChars="200"/>
        <w:jc w:val="both"/>
        <w:rPr>
          <w:rFonts w:hint="eastAsia" w:ascii="宋体" w:hAnsi="宋体" w:eastAsia="宋体" w:cs="宋体"/>
          <w:color w:val="auto"/>
          <w:kern w:val="2"/>
          <w:sz w:val="24"/>
          <w:szCs w:val="24"/>
          <w:lang w:eastAsia="zh-CN"/>
        </w:rPr>
      </w:pPr>
      <w:r>
        <w:rPr>
          <w:rFonts w:hint="eastAsia" w:ascii="宋体" w:hAnsi="宋体" w:eastAsia="宋体" w:cs="宋体"/>
          <w:b/>
          <w:bCs/>
          <w:color w:val="auto"/>
          <w:kern w:val="2"/>
          <w:sz w:val="24"/>
          <w:szCs w:val="24"/>
          <w:lang w:val="en-US" w:eastAsia="zh-CN" w:bidi="ar"/>
        </w:rPr>
        <w:t>提升安全感和满意度，</w:t>
      </w:r>
      <w:r>
        <w:rPr>
          <w:rFonts w:hint="eastAsia" w:ascii="宋体" w:hAnsi="宋体" w:eastAsia="宋体" w:cs="宋体"/>
          <w:color w:val="auto"/>
          <w:kern w:val="2"/>
          <w:sz w:val="24"/>
          <w:szCs w:val="24"/>
          <w:lang w:val="en-US" w:eastAsia="zh-CN" w:bidi="ar"/>
        </w:rPr>
        <w:t>本次系列项目可有效完善全区交通交叉路口信号灯系统，保证全区信号灯系统正常稳定运行。同时，民警能够更快速地响应群众的求助和报警，及时解决群众遇到的问题，从而提高群众对公安工作的满意度。</w:t>
      </w:r>
    </w:p>
    <w:p w14:paraId="4643E4D3">
      <w:pPr>
        <w:keepNext/>
        <w:keepLines/>
        <w:pageBreakBefore w:val="0"/>
        <w:widowControl/>
        <w:numPr>
          <w:ilvl w:val="0"/>
          <w:numId w:val="0"/>
        </w:numPr>
        <w:kinsoku/>
        <w:wordWrap/>
        <w:overflowPunct/>
        <w:topLinePunct w:val="0"/>
        <w:autoSpaceDE/>
        <w:autoSpaceDN/>
        <w:bidi w:val="0"/>
        <w:adjustRightInd/>
        <w:snapToGrid/>
        <w:spacing w:line="440" w:lineRule="exact"/>
        <w:ind w:firstLine="482" w:firstLineChars="200"/>
        <w:jc w:val="left"/>
        <w:textAlignment w:val="baseline"/>
        <w:outlineLvl w:val="0"/>
        <w:rPr>
          <w:rFonts w:hint="eastAsia" w:ascii="宋体" w:hAnsi="宋体" w:eastAsia="宋体" w:cs="宋体"/>
          <w:bCs/>
          <w:color w:val="auto"/>
          <w:kern w:val="44"/>
          <w:sz w:val="24"/>
          <w:szCs w:val="24"/>
          <w:lang w:val="en-US" w:eastAsia="zh-CN" w:bidi="ar-SA"/>
        </w:rPr>
      </w:pPr>
      <w:bookmarkStart w:id="194" w:name="_Toc17765"/>
      <w:r>
        <w:rPr>
          <w:rFonts w:hint="eastAsia" w:ascii="宋体" w:hAnsi="宋体" w:eastAsia="宋体" w:cs="宋体"/>
          <w:b/>
          <w:bCs w:val="0"/>
          <w:color w:val="auto"/>
          <w:kern w:val="44"/>
          <w:sz w:val="24"/>
          <w:szCs w:val="24"/>
          <w:lang w:val="en-US" w:eastAsia="zh-CN" w:bidi="ar-SA"/>
        </w:rPr>
        <w:t>三、项目总体设计方案</w:t>
      </w:r>
      <w:bookmarkEnd w:id="194"/>
    </w:p>
    <w:p w14:paraId="1F54ADF0">
      <w:pPr>
        <w:keepNext/>
        <w:keepLines/>
        <w:pageBreakBefore w:val="0"/>
        <w:widowControl/>
        <w:tabs>
          <w:tab w:val="left" w:pos="756"/>
        </w:tabs>
        <w:kinsoku/>
        <w:wordWrap/>
        <w:overflowPunct/>
        <w:topLinePunct w:val="0"/>
        <w:autoSpaceDE/>
        <w:autoSpaceDN/>
        <w:bidi w:val="0"/>
        <w:adjustRightInd/>
        <w:snapToGrid/>
        <w:spacing w:line="440" w:lineRule="exact"/>
        <w:ind w:firstLine="482" w:firstLineChars="200"/>
        <w:jc w:val="left"/>
        <w:outlineLvl w:val="1"/>
        <w:rPr>
          <w:rFonts w:hint="eastAsia" w:ascii="宋体" w:hAnsi="宋体" w:eastAsia="宋体" w:cs="宋体"/>
          <w:color w:val="auto"/>
          <w:kern w:val="2"/>
          <w:sz w:val="24"/>
          <w:szCs w:val="24"/>
          <w:lang w:val="en-US" w:eastAsia="zh-CN" w:bidi="ar-SA"/>
        </w:rPr>
      </w:pPr>
      <w:bookmarkStart w:id="195" w:name="_Toc20694"/>
      <w:r>
        <w:rPr>
          <w:rFonts w:hint="eastAsia" w:ascii="宋体" w:hAnsi="宋体" w:eastAsia="宋体" w:cs="宋体"/>
          <w:b/>
          <w:bCs/>
          <w:color w:val="auto"/>
          <w:kern w:val="2"/>
          <w:sz w:val="24"/>
          <w:szCs w:val="24"/>
          <w:lang w:val="en-US" w:eastAsia="zh-CN" w:bidi="ar-SA"/>
        </w:rPr>
        <w:t>1  设计思路</w:t>
      </w:r>
      <w:bookmarkEnd w:id="195"/>
    </w:p>
    <w:p w14:paraId="2BC3235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0"/>
          <w:sz w:val="24"/>
          <w:szCs w:val="24"/>
          <w:lang w:val="en-US" w:eastAsia="zh-CN" w:bidi="ar"/>
        </w:rPr>
        <w:t>为深入治理农村道路交通安全隐患，提升农村地区道路安全本质水平，市政府已将农村道路交通安全提升工程纳入2025年区“为民办实事”项目。为确保高质量、高效率完成项目建设任务，精准治理农村地区道路交通突出隐患，持续压降道路交通事故，保障人民群众生命财产安全。</w:t>
      </w:r>
    </w:p>
    <w:p w14:paraId="74DCE692">
      <w:pPr>
        <w:keepNext/>
        <w:keepLines/>
        <w:pageBreakBefore w:val="0"/>
        <w:widowControl/>
        <w:tabs>
          <w:tab w:val="left" w:pos="756"/>
        </w:tabs>
        <w:kinsoku/>
        <w:wordWrap/>
        <w:overflowPunct/>
        <w:topLinePunct w:val="0"/>
        <w:autoSpaceDE/>
        <w:autoSpaceDN/>
        <w:bidi w:val="0"/>
        <w:adjustRightInd/>
        <w:snapToGrid/>
        <w:spacing w:line="440" w:lineRule="exact"/>
        <w:ind w:firstLine="482" w:firstLineChars="200"/>
        <w:jc w:val="left"/>
        <w:outlineLvl w:val="1"/>
        <w:rPr>
          <w:rFonts w:hint="eastAsia" w:ascii="宋体" w:hAnsi="宋体" w:eastAsia="宋体" w:cs="宋体"/>
          <w:color w:val="auto"/>
          <w:kern w:val="2"/>
          <w:sz w:val="24"/>
          <w:szCs w:val="24"/>
          <w:lang w:val="en-US" w:eastAsia="zh-CN" w:bidi="ar-SA"/>
        </w:rPr>
      </w:pPr>
      <w:bookmarkStart w:id="196" w:name="_Toc26141"/>
      <w:r>
        <w:rPr>
          <w:rFonts w:hint="eastAsia" w:ascii="宋体" w:hAnsi="宋体" w:eastAsia="宋体" w:cs="宋体"/>
          <w:b/>
          <w:bCs/>
          <w:color w:val="auto"/>
          <w:kern w:val="2"/>
          <w:sz w:val="24"/>
          <w:szCs w:val="24"/>
          <w:lang w:val="en-US" w:eastAsia="zh-CN" w:bidi="ar-SA"/>
        </w:rPr>
        <w:t>2  设计原则</w:t>
      </w:r>
      <w:bookmarkEnd w:id="196"/>
    </w:p>
    <w:p w14:paraId="3EFFB76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firstLine="482" w:firstLineChars="200"/>
        <w:jc w:val="both"/>
        <w:rPr>
          <w:rFonts w:hint="eastAsia" w:ascii="宋体" w:hAnsi="宋体" w:eastAsia="宋体" w:cs="宋体"/>
          <w:color w:val="auto"/>
          <w:kern w:val="0"/>
          <w:sz w:val="24"/>
          <w:szCs w:val="24"/>
          <w:lang w:val="en-US" w:eastAsia="zh-CN" w:bidi="ar-SA"/>
        </w:rPr>
      </w:pPr>
      <w:r>
        <w:rPr>
          <w:rFonts w:hint="eastAsia" w:ascii="宋体" w:hAnsi="宋体" w:eastAsia="宋体" w:cs="宋体"/>
          <w:b/>
          <w:bCs/>
          <w:color w:val="auto"/>
          <w:kern w:val="0"/>
          <w:sz w:val="24"/>
          <w:szCs w:val="24"/>
          <w:lang w:val="en-US" w:eastAsia="zh-CN" w:bidi="ar-SA"/>
        </w:rPr>
        <w:t>（一）</w:t>
      </w:r>
      <w:r>
        <w:rPr>
          <w:rFonts w:hint="eastAsia" w:ascii="宋体" w:hAnsi="宋体" w:eastAsia="宋体" w:cs="宋体"/>
          <w:b/>
          <w:bCs/>
          <w:color w:val="auto"/>
          <w:kern w:val="2"/>
          <w:sz w:val="24"/>
          <w:szCs w:val="24"/>
          <w:lang w:val="en-US" w:eastAsia="zh-CN" w:bidi="ar"/>
        </w:rPr>
        <w:t>共同参与原则</w:t>
      </w:r>
      <w:r>
        <w:rPr>
          <w:rFonts w:hint="eastAsia" w:ascii="宋体" w:hAnsi="宋体" w:eastAsia="宋体" w:cs="宋体"/>
          <w:color w:val="auto"/>
          <w:kern w:val="2"/>
          <w:sz w:val="24"/>
          <w:szCs w:val="24"/>
          <w:lang w:val="en-US" w:eastAsia="zh-CN" w:bidi="ar"/>
        </w:rPr>
        <w:t>。在区委区政府的统一领导、统一部署下，由区委政法委牵头，成立区安防建设领导小组。领导小组办公室（以下简称安防办）设在大丰公安局，具体负责安防建设工作，各部门、各大块按职能分工，积极推进相关的建设任务、数据汇聚等工作。</w:t>
      </w:r>
    </w:p>
    <w:p w14:paraId="7D1B5E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482" w:firstLineChars="200"/>
        <w:jc w:val="both"/>
        <w:rPr>
          <w:rFonts w:hint="eastAsia" w:ascii="宋体" w:hAnsi="宋体" w:eastAsia="宋体" w:cs="宋体"/>
          <w:color w:val="auto"/>
          <w:kern w:val="0"/>
          <w:sz w:val="24"/>
          <w:szCs w:val="24"/>
          <w:lang w:val="en-US" w:eastAsia="zh-CN" w:bidi="ar-SA"/>
        </w:rPr>
      </w:pPr>
      <w:r>
        <w:rPr>
          <w:rFonts w:hint="eastAsia" w:ascii="宋体" w:hAnsi="宋体" w:eastAsia="宋体" w:cs="宋体"/>
          <w:b/>
          <w:bCs/>
          <w:color w:val="auto"/>
          <w:kern w:val="2"/>
          <w:sz w:val="24"/>
          <w:szCs w:val="24"/>
          <w:lang w:val="en-US" w:eastAsia="zh-CN" w:bidi="ar"/>
        </w:rPr>
        <w:t>（二）同步建设原则。</w:t>
      </w:r>
      <w:r>
        <w:rPr>
          <w:rFonts w:hint="eastAsia" w:ascii="宋体" w:hAnsi="宋体" w:eastAsia="宋体" w:cs="宋体"/>
          <w:color w:val="auto"/>
          <w:kern w:val="2"/>
          <w:sz w:val="24"/>
          <w:szCs w:val="24"/>
          <w:lang w:val="en-US" w:eastAsia="zh-CN" w:bidi="ar"/>
        </w:rPr>
        <w:t>各部门要各司其职，在建设各类项目时同步考虑配套建设AI设警应用前端、后台、应用；各部门对管辖内配套设施的安防建设必须遵循同步设计、同步建设、同步验收、同步使用；要同步考虑数据的汇聚整合和可持续运维。</w:t>
      </w:r>
    </w:p>
    <w:p w14:paraId="3E6BDBB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482" w:firstLineChars="200"/>
        <w:jc w:val="both"/>
        <w:rPr>
          <w:rFonts w:hint="eastAsia" w:ascii="宋体" w:hAnsi="宋体" w:eastAsia="宋体" w:cs="宋体"/>
          <w:color w:val="auto"/>
          <w:kern w:val="0"/>
          <w:sz w:val="24"/>
          <w:szCs w:val="24"/>
          <w:lang w:val="en-US" w:eastAsia="zh-CN" w:bidi="ar-SA"/>
        </w:rPr>
      </w:pPr>
      <w:r>
        <w:rPr>
          <w:rFonts w:hint="eastAsia" w:ascii="宋体" w:hAnsi="宋体" w:eastAsia="宋体" w:cs="宋体"/>
          <w:b/>
          <w:bCs/>
          <w:color w:val="auto"/>
          <w:kern w:val="2"/>
          <w:sz w:val="24"/>
          <w:szCs w:val="24"/>
          <w:lang w:val="en-US" w:eastAsia="zh-CN" w:bidi="ar"/>
        </w:rPr>
        <w:t>（三）汇聚共享原则。</w:t>
      </w:r>
      <w:r>
        <w:rPr>
          <w:rFonts w:hint="eastAsia" w:ascii="宋体" w:hAnsi="宋体" w:eastAsia="宋体" w:cs="宋体"/>
          <w:color w:val="auto"/>
          <w:kern w:val="2"/>
          <w:sz w:val="24"/>
          <w:szCs w:val="24"/>
          <w:lang w:val="en-US" w:eastAsia="zh-CN" w:bidi="ar"/>
        </w:rPr>
        <w:t>实现数据上云，统一汇聚管理共享应用，将政府部门数据资源、监控资源价值最大化。按国家和省市有关规定，在满足安全性、实用性要求的情况下，经过相关部门的安全审批手续后，政府各职能部门可根据本部门、本系统业务需求，共享数据资源、图像资源。</w:t>
      </w:r>
    </w:p>
    <w:p w14:paraId="4EAABF0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482" w:firstLineChars="200"/>
        <w:jc w:val="both"/>
        <w:rPr>
          <w:rFonts w:hint="eastAsia" w:ascii="宋体" w:hAnsi="宋体" w:eastAsia="宋体" w:cs="宋体"/>
          <w:color w:val="auto"/>
          <w:kern w:val="0"/>
          <w:sz w:val="24"/>
          <w:szCs w:val="24"/>
          <w:lang w:val="en-US" w:eastAsia="zh-CN" w:bidi="ar-SA"/>
        </w:rPr>
      </w:pPr>
      <w:r>
        <w:rPr>
          <w:rFonts w:hint="eastAsia" w:ascii="宋体" w:hAnsi="宋体" w:eastAsia="宋体" w:cs="宋体"/>
          <w:b/>
          <w:bCs/>
          <w:color w:val="auto"/>
          <w:kern w:val="2"/>
          <w:sz w:val="24"/>
          <w:szCs w:val="24"/>
          <w:lang w:val="en-US" w:eastAsia="zh-CN" w:bidi="ar"/>
        </w:rPr>
        <w:t>（四）遵守标准原则。</w:t>
      </w:r>
      <w:r>
        <w:rPr>
          <w:rFonts w:hint="eastAsia" w:ascii="宋体" w:hAnsi="宋体" w:eastAsia="宋体" w:cs="宋体"/>
          <w:color w:val="auto"/>
          <w:kern w:val="2"/>
          <w:sz w:val="24"/>
          <w:szCs w:val="24"/>
          <w:lang w:val="en-US" w:eastAsia="zh-CN" w:bidi="ar"/>
        </w:rPr>
        <w:t>系统建设必须遵守国家有关标准与规范，自下而上，先内后外，坚持先进，兼容传统，实现系统互联、信息整合、资源共享，并具有良好的兼容性和可扩展性。建设项目中，涉及安防大数据的业务应当采用统一标准的音视频流媒体格式、网络接入方式，实现完全兼容汇聚。</w:t>
      </w:r>
    </w:p>
    <w:p w14:paraId="0B0BE99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482" w:firstLineChars="200"/>
        <w:jc w:val="both"/>
        <w:rPr>
          <w:rFonts w:hint="eastAsia" w:ascii="宋体" w:hAnsi="宋体" w:eastAsia="宋体" w:cs="宋体"/>
          <w:color w:val="auto"/>
          <w:kern w:val="0"/>
          <w:sz w:val="24"/>
          <w:szCs w:val="24"/>
          <w:lang w:val="en-US" w:eastAsia="zh-CN" w:bidi="ar-SA"/>
        </w:rPr>
      </w:pPr>
      <w:r>
        <w:rPr>
          <w:rFonts w:hint="eastAsia" w:ascii="宋体" w:hAnsi="宋体" w:eastAsia="宋体" w:cs="宋体"/>
          <w:b/>
          <w:bCs/>
          <w:color w:val="auto"/>
          <w:kern w:val="2"/>
          <w:sz w:val="24"/>
          <w:szCs w:val="24"/>
          <w:lang w:val="en-US" w:eastAsia="zh-CN" w:bidi="ar"/>
        </w:rPr>
        <w:t>（五）系统安全原则。</w:t>
      </w:r>
      <w:r>
        <w:rPr>
          <w:rFonts w:hint="eastAsia" w:ascii="宋体" w:hAnsi="宋体" w:eastAsia="宋体" w:cs="宋体"/>
          <w:color w:val="auto"/>
          <w:kern w:val="2"/>
          <w:sz w:val="24"/>
          <w:szCs w:val="24"/>
          <w:lang w:val="en-US" w:eastAsia="zh-CN" w:bidi="ar"/>
        </w:rPr>
        <w:t>加强警务应用系统安全防范体系建设，设备必须满足安全性和可靠性要求，设备选型不能选试验产品、非标产品、国外产品，要优先选用符合标准先进可靠的国产主流产品，以保证系统安全稳定可靠运行，系统的信息安全等级要求不低于公安部信息系统安全等级防护三级标准要求。</w:t>
      </w:r>
    </w:p>
    <w:p w14:paraId="59B2BEF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482" w:firstLineChars="200"/>
        <w:jc w:val="both"/>
        <w:rPr>
          <w:rFonts w:hint="eastAsia" w:ascii="宋体" w:hAnsi="宋体" w:eastAsia="宋体" w:cs="宋体"/>
          <w:color w:val="auto"/>
          <w:kern w:val="0"/>
          <w:sz w:val="24"/>
          <w:szCs w:val="24"/>
          <w:lang w:val="en-US" w:eastAsia="zh-CN" w:bidi="ar-SA"/>
        </w:rPr>
      </w:pPr>
      <w:r>
        <w:rPr>
          <w:rFonts w:hint="eastAsia" w:ascii="宋体" w:hAnsi="宋体" w:eastAsia="宋体" w:cs="宋体"/>
          <w:b/>
          <w:bCs/>
          <w:color w:val="auto"/>
          <w:kern w:val="2"/>
          <w:sz w:val="24"/>
          <w:szCs w:val="24"/>
          <w:lang w:val="en-US" w:eastAsia="zh-CN" w:bidi="ar"/>
        </w:rPr>
        <w:t>（六）保障投资原则。</w:t>
      </w:r>
      <w:r>
        <w:rPr>
          <w:rFonts w:hint="eastAsia" w:ascii="宋体" w:hAnsi="宋体" w:eastAsia="宋体" w:cs="宋体"/>
          <w:color w:val="auto"/>
          <w:kern w:val="2"/>
          <w:sz w:val="24"/>
          <w:szCs w:val="24"/>
          <w:lang w:val="en-US" w:eastAsia="zh-CN" w:bidi="ar"/>
        </w:rPr>
        <w:t>在保障原有系统正常使用的前提下进行扩容、改建、升级或新建，充分利用原有系统，保护已有投资；区镇两级财政要足额保障，确保每年的AI警务应用研发、建设及维护资金落实到位；非政府投资建设安防设施的建设、管理和运行维护费用，按照“谁使用、谁负责”的原则，由责任主体或所有者承担；各部门应拓宽渠道、开源节流，引导鼓励社会资金投入AI警务应用建设项目。</w:t>
      </w:r>
    </w:p>
    <w:p w14:paraId="42F41DB9">
      <w:pPr>
        <w:keepNext/>
        <w:keepLines/>
        <w:pageBreakBefore w:val="0"/>
        <w:widowControl/>
        <w:tabs>
          <w:tab w:val="left" w:pos="756"/>
        </w:tabs>
        <w:kinsoku/>
        <w:wordWrap/>
        <w:overflowPunct/>
        <w:topLinePunct w:val="0"/>
        <w:autoSpaceDE/>
        <w:autoSpaceDN/>
        <w:bidi w:val="0"/>
        <w:adjustRightInd/>
        <w:snapToGrid/>
        <w:spacing w:line="440" w:lineRule="exact"/>
        <w:ind w:firstLine="482" w:firstLineChars="200"/>
        <w:jc w:val="left"/>
        <w:outlineLvl w:val="1"/>
        <w:rPr>
          <w:rFonts w:hint="eastAsia" w:ascii="宋体" w:hAnsi="宋体" w:eastAsia="宋体" w:cs="宋体"/>
          <w:color w:val="auto"/>
          <w:kern w:val="2"/>
          <w:sz w:val="24"/>
          <w:szCs w:val="24"/>
          <w:lang w:val="en-US" w:eastAsia="zh-CN" w:bidi="ar-SA"/>
        </w:rPr>
      </w:pPr>
      <w:bookmarkStart w:id="197" w:name="_Toc30504"/>
      <w:r>
        <w:rPr>
          <w:rFonts w:hint="eastAsia" w:ascii="宋体" w:hAnsi="宋体" w:eastAsia="宋体" w:cs="宋体"/>
          <w:b/>
          <w:bCs/>
          <w:color w:val="auto"/>
          <w:kern w:val="2"/>
          <w:sz w:val="24"/>
          <w:szCs w:val="24"/>
          <w:lang w:val="en-US" w:eastAsia="zh-CN" w:bidi="ar-SA"/>
        </w:rPr>
        <w:t>3 “亮剑一号”道路交通安全提升工程</w:t>
      </w:r>
      <w:bookmarkEnd w:id="197"/>
    </w:p>
    <w:p w14:paraId="0111B61A">
      <w:pPr>
        <w:keepNext/>
        <w:keepLines/>
        <w:pageBreakBefore w:val="0"/>
        <w:widowControl/>
        <w:kinsoku/>
        <w:wordWrap/>
        <w:overflowPunct/>
        <w:topLinePunct w:val="0"/>
        <w:autoSpaceDE/>
        <w:autoSpaceDN/>
        <w:bidi w:val="0"/>
        <w:adjustRightInd/>
        <w:snapToGrid/>
        <w:spacing w:line="440" w:lineRule="exact"/>
        <w:ind w:firstLine="482" w:firstLineChars="200"/>
        <w:jc w:val="left"/>
        <w:outlineLvl w:val="2"/>
        <w:rPr>
          <w:rFonts w:hint="eastAsia" w:ascii="宋体" w:hAnsi="宋体" w:eastAsia="宋体" w:cs="宋体"/>
          <w:color w:val="auto"/>
          <w:kern w:val="2"/>
          <w:sz w:val="24"/>
          <w:szCs w:val="24"/>
          <w:highlight w:val="none"/>
          <w:lang w:val="en-US" w:eastAsia="zh-CN" w:bidi="ar-SA"/>
        </w:rPr>
      </w:pPr>
      <w:bookmarkStart w:id="198" w:name="_Toc10834"/>
      <w:r>
        <w:rPr>
          <w:rFonts w:hint="eastAsia" w:ascii="宋体" w:hAnsi="宋体" w:eastAsia="宋体" w:cs="宋体"/>
          <w:b/>
          <w:bCs/>
          <w:color w:val="auto"/>
          <w:kern w:val="2"/>
          <w:sz w:val="24"/>
          <w:szCs w:val="24"/>
          <w:highlight w:val="none"/>
          <w:lang w:val="en-US" w:eastAsia="zh-CN" w:bidi="ar-SA"/>
        </w:rPr>
        <w:t>3.1  系统概述</w:t>
      </w:r>
      <w:bookmarkEnd w:id="198"/>
    </w:p>
    <w:p w14:paraId="127A964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为加强路交通安全管理工作，最大限度消除交通安全隐患，压降道路交通事故，交通以营造“智慧、平安、畅通、文明”的道路交通环境为总目标，运用科技手段，全面推进道路交通安全提升项建设，创新国省道现代管理机制，转变传统交管模式，建立一个科学高效、覆盖广泛、防控严密、服务便捷的智能交通安全系统，满足交通管理部门对国省道交通进行管理、控制、组织、规划和公众信息服务的需求。</w:t>
      </w:r>
    </w:p>
    <w:p w14:paraId="5D967F98">
      <w:pPr>
        <w:keepNext/>
        <w:keepLines/>
        <w:pageBreakBefore w:val="0"/>
        <w:widowControl/>
        <w:kinsoku/>
        <w:wordWrap/>
        <w:overflowPunct/>
        <w:topLinePunct w:val="0"/>
        <w:autoSpaceDE/>
        <w:autoSpaceDN/>
        <w:bidi w:val="0"/>
        <w:adjustRightInd/>
        <w:snapToGrid/>
        <w:spacing w:line="440" w:lineRule="exact"/>
        <w:ind w:firstLine="482" w:firstLineChars="200"/>
        <w:jc w:val="left"/>
        <w:outlineLvl w:val="2"/>
        <w:rPr>
          <w:rFonts w:hint="eastAsia" w:ascii="宋体" w:hAnsi="宋体" w:eastAsia="宋体" w:cs="宋体"/>
          <w:color w:val="auto"/>
          <w:kern w:val="2"/>
          <w:sz w:val="24"/>
          <w:szCs w:val="24"/>
          <w:highlight w:val="yellow"/>
          <w:lang w:val="en-US" w:eastAsia="zh-CN" w:bidi="ar-SA"/>
        </w:rPr>
      </w:pPr>
      <w:bookmarkStart w:id="199" w:name="_Toc4897"/>
      <w:r>
        <w:rPr>
          <w:rFonts w:hint="eastAsia" w:ascii="宋体" w:hAnsi="宋体" w:eastAsia="宋体" w:cs="宋体"/>
          <w:b/>
          <w:bCs/>
          <w:color w:val="auto"/>
          <w:kern w:val="2"/>
          <w:sz w:val="24"/>
          <w:szCs w:val="24"/>
          <w:highlight w:val="none"/>
          <w:lang w:val="en-US" w:eastAsia="zh-CN" w:bidi="ar-SA"/>
        </w:rPr>
        <w:t>3.2  系统功能</w:t>
      </w:r>
      <w:bookmarkEnd w:id="199"/>
    </w:p>
    <w:p w14:paraId="47DDA24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为进一步提高盐城大丰区交通安全设施系统建设，落实切实有效的交通安全秩序。 本项目旨在以整治现有红绿灯、更换非标红绿灯、新建红绿灯为基础，对全区智能信号系统进行整治，满足交通管理部门对机动车道交通进行管理、控制、组织、规划的需求。</w:t>
      </w:r>
    </w:p>
    <w:p w14:paraId="124216B2">
      <w:pPr>
        <w:pageBreakBefore w:val="0"/>
        <w:tabs>
          <w:tab w:val="left" w:pos="0"/>
        </w:tabs>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2"/>
          <w:sz w:val="24"/>
          <w:szCs w:val="24"/>
          <w:lang w:val="en-US" w:eastAsia="zh-CN" w:bidi="ar"/>
        </w:rPr>
        <w:t>为深入贯彻落实全国公安机关社会治安防控体系标准化城市和示范城市创建活动的要求,推动大丰区辖区内的智能信号系统整治，形成全局管控，形成一个绿色、高效的交通系统。同时运用科技手段,创新城市道路现代管理机制,转变传统交管模式,建立一个科学高效、覆盖广泛、防控严密、服务便捷的智能交通安全系统,满足交通管理部门对城市道路交通进行管理、控制、组织、规划和公众信息服务的需求。</w:t>
      </w:r>
    </w:p>
    <w:p w14:paraId="7879F19E">
      <w:pPr>
        <w:ind w:firstLine="560"/>
        <w:rPr>
          <w:rFonts w:hint="eastAsia" w:ascii="宋体" w:hAnsi="宋体" w:eastAsia="宋体" w:cs="宋体"/>
          <w:color w:val="auto"/>
          <w:sz w:val="28"/>
          <w:szCs w:val="28"/>
          <w:highlight w:val="yellow"/>
        </w:rPr>
        <w:sectPr>
          <w:headerReference r:id="rId4" w:type="default"/>
          <w:footerReference r:id="rId5" w:type="default"/>
          <w:pgSz w:w="11906" w:h="16838"/>
          <w:pgMar w:top="1440" w:right="1080" w:bottom="1440" w:left="1080" w:header="851" w:footer="851" w:gutter="0"/>
          <w:cols w:space="425" w:num="1"/>
          <w:docGrid w:linePitch="360" w:charSpace="0"/>
        </w:sectPr>
      </w:pPr>
    </w:p>
    <w:p w14:paraId="0FE77656">
      <w:pPr>
        <w:keepNext/>
        <w:keepLines/>
        <w:widowControl/>
        <w:spacing w:line="360" w:lineRule="auto"/>
        <w:jc w:val="left"/>
        <w:outlineLvl w:val="2"/>
        <w:rPr>
          <w:rFonts w:hint="eastAsia" w:ascii="宋体" w:hAnsi="宋体" w:eastAsia="宋体" w:cs="宋体"/>
          <w:color w:val="auto"/>
          <w:kern w:val="2"/>
          <w:sz w:val="28"/>
          <w:szCs w:val="24"/>
          <w:lang w:val="en-US" w:eastAsia="zh-CN" w:bidi="ar-SA"/>
        </w:rPr>
      </w:pPr>
      <w:bookmarkStart w:id="200" w:name="_Toc29244"/>
      <w:r>
        <w:rPr>
          <w:rFonts w:hint="eastAsia" w:ascii="宋体" w:hAnsi="宋体" w:eastAsia="宋体" w:cs="宋体"/>
          <w:b/>
          <w:bCs/>
          <w:color w:val="auto"/>
          <w:kern w:val="2"/>
          <w:sz w:val="24"/>
          <w:szCs w:val="22"/>
          <w:lang w:val="en-US" w:eastAsia="zh-CN" w:bidi="ar-SA"/>
        </w:rPr>
        <w:t>3.3  亮剑一号点位部署</w:t>
      </w:r>
      <w:bookmarkEnd w:id="200"/>
    </w:p>
    <w:p w14:paraId="52041421">
      <w:pPr>
        <w:rPr>
          <w:rFonts w:hint="eastAsia" w:ascii="宋体" w:hAnsi="宋体" w:eastAsia="宋体" w:cs="宋体"/>
          <w:b/>
          <w:bCs/>
          <w:color w:val="auto"/>
          <w:kern w:val="2"/>
          <w:sz w:val="28"/>
          <w:lang w:val="en-US" w:eastAsia="zh-CN"/>
        </w:rPr>
      </w:pPr>
      <w:r>
        <w:rPr>
          <w:rFonts w:hint="eastAsia" w:ascii="宋体" w:hAnsi="宋体" w:eastAsia="宋体" w:cs="宋体"/>
          <w:b/>
          <w:bCs/>
          <w:color w:val="auto"/>
          <w:kern w:val="2"/>
          <w:sz w:val="24"/>
          <w:szCs w:val="22"/>
          <w:lang w:val="en-US" w:eastAsia="zh-CN"/>
        </w:rPr>
        <w:t>亮剑一号前端</w:t>
      </w:r>
    </w:p>
    <w:tbl>
      <w:tblPr>
        <w:tblStyle w:val="3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6"/>
        <w:gridCol w:w="3912"/>
        <w:gridCol w:w="567"/>
        <w:gridCol w:w="1199"/>
        <w:gridCol w:w="1199"/>
        <w:gridCol w:w="1199"/>
        <w:gridCol w:w="1199"/>
        <w:gridCol w:w="1199"/>
        <w:gridCol w:w="3087"/>
      </w:tblGrid>
      <w:tr w14:paraId="54738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0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E845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路口信号灯前端维修升级</w:t>
            </w:r>
          </w:p>
        </w:tc>
      </w:tr>
      <w:tr w14:paraId="4FF9E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D554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B9C0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路口名称</w:t>
            </w:r>
          </w:p>
        </w:tc>
        <w:tc>
          <w:tcPr>
            <w:tcW w:w="2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C402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方向</w:t>
            </w:r>
          </w:p>
        </w:tc>
        <w:tc>
          <w:tcPr>
            <w:tcW w:w="4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E735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信号机</w:t>
            </w:r>
          </w:p>
        </w:tc>
        <w:tc>
          <w:tcPr>
            <w:tcW w:w="4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B38E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满屏灯</w:t>
            </w:r>
          </w:p>
        </w:tc>
        <w:tc>
          <w:tcPr>
            <w:tcW w:w="4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966C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箭头灯</w:t>
            </w:r>
          </w:p>
        </w:tc>
        <w:tc>
          <w:tcPr>
            <w:tcW w:w="4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5568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倒计时</w:t>
            </w:r>
          </w:p>
        </w:tc>
        <w:tc>
          <w:tcPr>
            <w:tcW w:w="4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4BCC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人行灯</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8C8A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备注</w:t>
            </w:r>
          </w:p>
        </w:tc>
      </w:tr>
      <w:tr w14:paraId="113D2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DC32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A9DD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343交盛丰路口</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94DF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A6EF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1ECC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BC38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A1EE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7849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7993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F198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EB76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88F1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4EA6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3D08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A1E0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60AA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D4C6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A4FF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E7DD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D9F2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C405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C911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3404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A5AA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E46B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5125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1917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BC92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A496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5C0D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7A0F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B75D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5520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6B1D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AC45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C46F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9232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240B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D3BF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CF6F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F789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8097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新村路交西康路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15F1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4F86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4E54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14A8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5A52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0D85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9F7A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1BF3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726F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EBFA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FDCC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E87F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5162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54F2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CFCE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AFF2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A837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27BA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6E99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819C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AB55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65CA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15B8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959C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27DE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7482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C527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947D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B836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4908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CDCE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C33C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CEAA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F4D1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E363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71C5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7726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16B0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375E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8C7F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健康路交西康路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24A7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3AE2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B6CE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545C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77F0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1C32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D400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594E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5BD2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69D0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607F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853D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57DB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AD87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BE77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ADDB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13DF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85DF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E37B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51E9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1168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0C33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6C19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D703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50B9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C976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D5C9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3734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4817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A359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4762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BF50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9759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9811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BDC9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4945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1976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CF7F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74E2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BF3B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343交228</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6DA5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790A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2093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50C1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B71B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4366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CFA0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3556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51B1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355E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F226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D040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202B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2AE1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0359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B5FC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518B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328C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AC55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8EFF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C1E1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C716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6E54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7DE5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A4F7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13CC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9E30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9E3B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853C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138A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6A72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448E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355C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2D67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1A06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764F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E8F0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3E74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7BC0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5</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56A6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南翔路交人民路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AF3E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0999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8A42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4BA8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3281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F4FB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18DC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C1A0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1ACF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0CFC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123A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AA3C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4210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3544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85DD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48E0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AC6A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2676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ADE2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3C3C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7824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96E5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CA81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A2D4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4443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E743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DE35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3539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C7E7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FD8C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BB84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4E05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A235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1BCD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40A4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1A62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DDB1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0ABC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9459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6</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723A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健康路交双拥路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5E3D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1A5C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9C95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4B26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D6D5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719A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5359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4381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57BA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5924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EBF0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CCD4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B391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AFD7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8985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E634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4349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3938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84EC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AF24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126A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C382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8B8F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1AF6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8276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7150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703A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AFCB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ECAC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7FB8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8BAC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84F5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C709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CD07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1E24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29EC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F166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8DD1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9E07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7</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56D5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健康路交东宁路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F476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D596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70C3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7FED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0958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43C9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9E98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4B69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FB77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14EE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CE7C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C1B9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5571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B97D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2A2C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71A7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E001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FC00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7F7B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0632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3164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09FA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70BD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EC61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BE4E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F383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4AB3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ECE4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8553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A5DB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631C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DB88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5662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6E6C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41A0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FAF5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5F6B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594A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65BC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8</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2788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343交西康路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90A5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A2D9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832F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8680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0C85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4F65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BB20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3E04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5E5D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DBA8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8237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D9D8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611D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A793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31C3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D7DB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5954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BD58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74B5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BA61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ABB8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FA60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28F0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571C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A2E8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5CF7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A357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EF9F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7024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6B69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0B4A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C387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97F6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8C0A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0E2E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D588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438B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2CF1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6077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9</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682E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南翔路交祥丰路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E194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CBDF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F19D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0FAD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7163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FE7B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65A2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1D2E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50D9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15A4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39B5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EDDF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5B76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179F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3699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09EB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BAC6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4389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BF59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87ED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2D77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075B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A434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1B54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1022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305A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8865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658D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1659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B7C4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0ED4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4477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69E7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15C3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F242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502C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82AF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A2EF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2F4A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10</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C0E6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南翔路交西康路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CC3F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574F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C60D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2A80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A73B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3AC9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46BC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65A9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67CE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1EE8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B3A7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1B2F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FA17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8CAE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1608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FE53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A3FA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01CE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3C02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4098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0A48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E6A9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3D1A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4F3C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53A3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DE07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6DEF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7463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C9C0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186E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858F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DFC3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23EC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5EEC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BB8B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C08B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75B7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098D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C9E4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11</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0B8F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益民路交人民路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0255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59B0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1907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1417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4345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D006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60E3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BA87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CABB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7B4A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DE55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77FD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15D2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B24A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55A7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5DEA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16D7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40D3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A39C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FEE5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7889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B4AE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B872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5F39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3FB2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DDAF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5FE9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CEFA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DF2C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CB85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8244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3C80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EE62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30DB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9CA9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6559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5802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95ED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2CB3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12</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923D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健康路交康平路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7163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D173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C63B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A87D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BCCF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F71A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CA9E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2B38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F419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E1C6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438B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5CBA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1357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CE99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001C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4023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A90F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B4E8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6902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784A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7F23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449B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F45B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C72B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B102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16A9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3235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8080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DA6E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13E1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64B8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32CF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C435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FCA7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4625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0888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3665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B701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47E0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13</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1083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飞达路交常新路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36D8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F2C3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41A8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C282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6A28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E437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2921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9AB2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4A5C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5F21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0288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0C1E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5C7A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9D4B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83D5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60A9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8CA8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A587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E9C1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B24C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ADA0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7403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7199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F4F4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AF96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0102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8110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E0F8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484E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5FD5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06CC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3755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4BA2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3EE8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45FD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D1AD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C9F3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3BC0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0ADC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14</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D937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大华路与花园南路交界处</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CE82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1AAF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05CD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F302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F273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6806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AC1B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1D90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D258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651B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496D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74B4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98A2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20D7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91F0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1D0A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DC45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D2FD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AE8E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B7E5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26D2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9EBC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85F8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6133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E96C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D54F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E27E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1122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8F46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34C5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0C65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FBC2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D27C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9280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8376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504C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6733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F381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3650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15</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C860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大华路交五一路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498F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0F1A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4CB7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859F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78E7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D097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9818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C91C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66E2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6C27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7FAF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523A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425D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E328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9419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537F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B67E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66C5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8922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D4AF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93EE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CB15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0DD0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4009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A5DA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E87A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392A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660F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743B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A8A0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C0A6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859C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E9B7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EB2F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DF50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DA73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D06E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AD39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F789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16</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5F84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351交226（老）</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B2CC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358C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E371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ECA0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D060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0AFC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9953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5D1A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080D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CCFE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EFF2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3644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D6AA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96D5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1CDA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BABC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309E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9408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9A03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E191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3A0E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92FD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7562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87E2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5E36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7229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4280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5CB4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A678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A91C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FAA9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D3B1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3D48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ED29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EBBC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13AD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3A49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06C1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32A3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17</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DC62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幸福路交五一路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9A1E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7492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69D4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F557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2E00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9770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059D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24BF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EEBE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AED5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6C43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AE49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336A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B52C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EAD4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C494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15D4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C184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15C5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06BF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A855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6065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B0EF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4521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4BED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EBDF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C78D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C8AB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9188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76FD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CF8B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3A23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EE31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5C7A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9F56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AB8C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C46D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3818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FF4B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18</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566C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幸福路交康平路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02AB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5297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7FDF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E0F0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1A80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5207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2BC1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155E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D00D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CAED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6850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8DE4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B1DA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FAB9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ADC3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D0FF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2946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5A91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C8DA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9ED9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2D26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1B8A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1195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20EE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6FB4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2D02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8D71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60A8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68B5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8406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D1CF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AD4F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E4F4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C2D8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4C00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6F05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2428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8E1D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4D4A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19</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C081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张謇路交西康路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837B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6DD1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E23E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FDC6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6B2E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158A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410E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79B0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95B2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06A1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26CD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8BD7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F52C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B7BC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7D83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E0DE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6220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9CA9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4A0F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D278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918D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281D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D209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78F6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215C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A435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F248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DCA3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FA38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A664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7D2A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4B1B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0814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8D8E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D635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7DDD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BDAE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1898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DB5E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20</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F373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裕华街</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B407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AB4C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8AF4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29AD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0639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6DCF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1A1C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8E1E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E40A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F56B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54BF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F46E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5351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95F0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3F07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6471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466A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1225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6E82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C1F7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30F2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9099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DF89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25A6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3645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60CB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7F16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1D8C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42E5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B0D6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751B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C814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C891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6235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4F43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8B9D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DE2F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64E7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8E8B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21</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4822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上川路交纬一路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8AC2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3767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2841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ACB0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4E2D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26CE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DA5E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7B14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0619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075C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583B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327C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5987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087C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C9CF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2737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34BF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E822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C2B1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CA71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8F2B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F258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99D6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72E8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D6A1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0416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730B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2484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B784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7574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FA22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5DE1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31C3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D535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BCAB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E820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FE58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1036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BF8D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22</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26C1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228国Y171线南北双向</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79EB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D47E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0F96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CEE8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D20B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8A18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D079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3ACE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CD51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9760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870C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081D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133F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F5FE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0B70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D688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89FE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CAAD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7511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218D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B441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7C7E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AE1C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882F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944D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79E8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EDF1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98EB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4DB8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360A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E58B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A6A6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BD72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B824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82DA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5DA0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07DC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D11E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0503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23</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2B81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228方强农场路口</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1EE6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556F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44F2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C214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C9CD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98A3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2B37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46C9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8EFF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FA54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E2D6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E2B3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D916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DDEC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3A12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81CF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193F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FAEF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0129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D262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17F7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FEBC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3BEB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A206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5430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493C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322C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7C2E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BB37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FFC3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6654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478E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CEA5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5DA8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24B7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B4DF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35B2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14E0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5606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24</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DABB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南翔路交申丰路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EAA7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5AF6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8F2C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0562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F76E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5424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18A3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2CC0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7018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7251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7A29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0792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0BF0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3FE5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B7E2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1BC9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4E7A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DA26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091D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1F7D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6F54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A0B0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F2CC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F871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0AA8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15E4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8830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AF77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0D38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CDA1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0644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59D6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2D5D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2BAE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E45B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B405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3A10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8A86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17D2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25</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3EF9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南翔路交锦丰路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75FE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7F8A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5D6F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28AA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BE27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37F6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C9AC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8A32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2A2F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B8A8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B0EC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F5A2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14B1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C3FC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12D9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49DD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2E34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5C8C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8C94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B328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A57F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9DBC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C8B3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0CD0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2D20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47D0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F502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706D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2942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9253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110A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DD88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6871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57DB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A0C9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C4A7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AFB6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8EE5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ED48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26</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45A2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南翔路交金丰路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6A18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890B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8ACC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1636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2499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D346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A216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5B0A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53A6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FF1A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C3F8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5F7D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5989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DC5C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F5A5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B628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6357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1390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54D7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84AA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DC5C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72ED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5B5E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F65C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480E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773A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0AD7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CD48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2AEB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7164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E70A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91F2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1846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9827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5344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D993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7719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751B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DE80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27</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74A4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南翔路交常丰路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5A9C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C233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F286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1F3E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8F8E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50E9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9CEA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625F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B1FB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D3A1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0CB8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5E2F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C255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D026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C7DC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EA70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58EC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2F27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CADF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D8AA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3AFB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8C2E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5AB2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A393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C4E7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2D58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E81B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DE9B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B7AC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388E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100B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0D2B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C943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8E23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604E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D3B4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F456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9030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AD95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28</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8D43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新村路交金海路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CE24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E28A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C498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20BC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3110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BAA5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ED8D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7018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E59D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F7EA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8ACF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7C3A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876B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8C94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E8FB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52F3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CB35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498E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C2EC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793B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B5FF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36C0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B1A2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0DEA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1892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8048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036D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640C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381D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97F0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06E8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87EA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9FC8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F2C3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5AC5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C5C3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1B3B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241B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8D59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29</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550C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新村路交常新路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CE0F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BC19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3B10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3123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48B3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E2A6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53DB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1370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B763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FA72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76CB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9E4B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DE4A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A1DB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EE0D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97AC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40A3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51B8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D76B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6431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7320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97B3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0A54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1557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55C6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1CF2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17FF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2F29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44CD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6D93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E412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40D2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0C74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8458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EF28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F211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9933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869B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D2BC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30</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2BAA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益民路交金丰路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2E9B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883E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2571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396A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D07D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32B8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B019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2AE6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EB99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48A4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0868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2368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5ED4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33B6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0815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1FB5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D857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7F91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D83C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1322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EB2D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4724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C84F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B00F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323B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CF71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F797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AA46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BCC2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ED53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8858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03F3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71FD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6FA2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C8BF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E438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E760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A186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1C1F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31</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5C1E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健康路交常新路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CC1F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C205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F259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72F0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1B9B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C799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7CD1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D4F7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F1EE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246B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4CB0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9070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F77C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21DA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A9F7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4A43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1E74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2568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3677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4F18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DF56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480E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777A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606D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267E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3B2D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4C99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6891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9C96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2792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859A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81A3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230F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41E7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2C23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728C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6606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C5E0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8718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32</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0573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大华路交东宁路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C22B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9CEE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8F78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64BC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B9DA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6147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0178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6B12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CD05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0422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94FB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580B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F62F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649A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8A0E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A009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F879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9D0B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FCB4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ABFB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A236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B2EC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9498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AD41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4D4F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9505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335F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44CF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7D63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6854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A458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26B4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158C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E7D5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680C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4F18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ED41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85C9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37F1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33</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91CE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飞达路交鹿鸣路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A229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894B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06B2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F62D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03B1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78E7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8679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A22D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2550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10BC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6D56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9526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2607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CB78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B80B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1A0F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C61C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B7D8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EDAB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F7D2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1999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326E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B160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CB3D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0340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EF60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467A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0BD0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AA53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5549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4790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C0A3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FE21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01DD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F9F3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8EBA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4B3D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B6DC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C3E8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34</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7A5E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飞达路交东宁路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D33F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AB76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C69C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6822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DE2F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0782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AC0B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8FAB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5251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24D3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C28D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818C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050F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1270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47C0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06C4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15B0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8D0D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4F88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50F4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F978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BE44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C412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DEB7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D192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8E83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BEAB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B476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9374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EE46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4E99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713E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91CA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EC1D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1816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5791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CAF6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13FB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B692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35</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9028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351交南草线</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F73B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74CD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248C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9751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E760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8F59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7674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83BA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ADC9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338B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8DFB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76CA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745C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B03C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CBD4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1A4A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8364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E6FF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4C30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B55E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640E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076A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3311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E6CC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49B1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E1AD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0DB8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F476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8824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C8F0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3000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B40D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9C4B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7C83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5283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3361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0087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80FF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04F8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36</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DD4B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343交东宁路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A216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A893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517D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0366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0FE4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885B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D1C7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D186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5280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3B34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1D8D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171D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40B0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0B9D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6C59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A19F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793E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50AD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C379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028B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EAB5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8507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1424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F8C8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C56D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10B7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AE49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106A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D04C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ED7C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ABA5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0718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BCC5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9CA7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2976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1544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AAE4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0841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3EEC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37</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9F41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343交陈李线</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C167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1329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E9B5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5589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BFD4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5D16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57EE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7308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B0D1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856E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7BB5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CD87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E90B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E078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C3DC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19D8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E235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EE32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DECB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37C5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893F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109F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2469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066C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BEC3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8D55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E181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B3C6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EDD5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A561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7B58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5A9B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5E20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68B1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46A9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1AF4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E9E6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78D0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500D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38</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C8D9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幸福路交西康路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62E3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7C22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D232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FF85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49E1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D006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2FAB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7D5B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BDBD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1FE7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D96C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60D9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F1CC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C573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20B6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27A5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8BBB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787D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7A90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6D88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66EE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BD28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026A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1C91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52F1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61ED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9F97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0122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9769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13DD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285F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B9AA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19BA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A0C4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0A2C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1A3D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D0C0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3044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2BE0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39</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92C0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幸福路交万丰路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1BA5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9095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1B58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CCF4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00C8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FB04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0728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ACA4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070F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926E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CC06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7C25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6182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9F2E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0F72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35D8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837E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4A5B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AE00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73C0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F8E7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E210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EA6F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6B72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58CE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E93A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847A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ECA5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AED7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0632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D6F8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FD37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2CFF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1592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BC74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29B8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27E7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97EA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2D22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40</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AD39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幸福路交东宁路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A251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EA4D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C0F6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5718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67DE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6D3B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7CDD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39DF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577C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0447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2BB2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A522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DB3F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47C7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BA8E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024E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20FC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7C78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1CF8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2F97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C42D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E58C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2D58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355D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B318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43E1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55E6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0DE0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9AA1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3408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D37A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B801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ECF1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187E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668C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97B5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B4CD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981B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9DE3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41</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8163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育红路交金丰路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2415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0F1A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C569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0062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B3DA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A2E4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1C1B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638F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6575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7F5E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3024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54CB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2F92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D4EC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2DD9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82F6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645F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204D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1830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1039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434D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A91E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94D6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7E74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B1D4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090C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31B0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31D7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F89E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4600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18C1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EE9D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FBA2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0335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3554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9D0B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426E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CF99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B6ED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42</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64A5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三龙镇丰富小街十字路口</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CC56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7488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DF6C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3889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40A8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2343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6D71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159F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E145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9364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0F88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51FD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9913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E20C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E0BC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EA81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3441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1EEB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8D97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1FAD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CA33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B5E5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CC97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D711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56B0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B085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F53E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AEE4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8A2B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D738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716D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0AE7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88A4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976A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72F8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826A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1518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774D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A5F5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43</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4C52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金海路交幸福路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7854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C7C7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6B03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E6EF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42FF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43CA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912F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9403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2E0A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E66F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2109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1F2C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6B56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9776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814B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528A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7711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8693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B0C2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241C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2B5F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D85B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99A3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A1F0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A55E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DD6D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D9BA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EE19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27B1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85D8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32E6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DBE5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F963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EA5C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913C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F58F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C66B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28B7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7642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44</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5FB8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金丰路交飞达路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3C77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05A4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7211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57E5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3F54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A665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E917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6CEA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A1F3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BDBE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1243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A8C7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E312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72E5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7D8B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006B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3EC5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23EF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0F14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DE72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8973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698C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3620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A970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07C0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900B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9D63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F77D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D9FE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1D48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4702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878E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F750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3A39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B373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4F6B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68A9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E156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A978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45</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B8FB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花园北路与新北路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03FF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AF00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9E0E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CF90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1525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B009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177B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1C44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DE6D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567D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A62D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72AF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31CA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D9E6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746F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72B7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2CC4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BE4D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F098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AB99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5A45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A0BD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1285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32F0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98F7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A9B6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E48C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F062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7A8F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6247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2FCE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5597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BAD4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A134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CBB2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8384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8389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FC20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B003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46</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9F91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健康路与阜南路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EDFC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D8AF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7A5B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C23B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D1A3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7A06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33DE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EC31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6DEA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AB46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18A1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7BF3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842F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ADEF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49D0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8EC1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DD0E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6CF5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B5BF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0213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D1BD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2A18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D2F7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677B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20BF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DD3C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F617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9100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B342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69D9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899F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1B14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DF52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043F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8F9D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71D7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604C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31AD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B51A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47</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F54A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丰华路与幸福路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EB0F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D0EB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34A7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2BD0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5102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EE9D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485F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AFC2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F6B7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9F71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6F8A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D10E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993B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65F6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936C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4AE9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036A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2F2F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3E19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25E5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1244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C0C4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BC90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8DB9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A6E8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1B9F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9517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D2C3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BDF8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6E64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849E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178B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9CB4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BA13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270C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4FDD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48CA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81C9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A432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48</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5A6F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丰华路交东方路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DF40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368D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D631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221E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21CA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327D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B19E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603F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78B6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0042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8674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81AB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4221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6D16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B6C2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469D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0CFB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C370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CC4F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436F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CA3B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9D89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C399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3B83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252C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A8C7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04E4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D9B8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E62C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D356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DEF9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250E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0541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42F5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E72C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8AA4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BB7B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D5BE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F31E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49</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C01A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春柳路与飞达路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435A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1FFC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11FE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D3F7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1FAD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C66B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6C31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3BC7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5D7D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4843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5542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CF5F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714D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80DF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AF26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6E83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05CA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555D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21D3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804C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DC17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9A5D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7158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150A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5C8C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6C59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1A67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AB30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F24B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A817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3880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B9DA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A551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D0A0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6836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DD19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84A6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F404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8FDF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50</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A90A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228交331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3E7F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C942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53C7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3589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7ADB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C52E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F2AA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D1F0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8EBE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B44E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D778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BA79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367A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FD6F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AB61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6808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2989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2858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286D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5ACD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133A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EC6F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AA10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46E2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0257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9ADC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876D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9A3E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80E5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CAAB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C359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90CC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92DE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7AA8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F64B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F3D9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432E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0029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2A48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51</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AB8C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226省道与鸿腾路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89E0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8285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8972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8BAD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2628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BA83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A50B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CFD0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5EAB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49DC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E47A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5CD4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7A42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0920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9DF5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B624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2A72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FB0B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E8C0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C2EF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51FC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BD74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EB41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84F6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D380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3033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42E1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5CDD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F254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82B2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40DB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08A2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0A31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7ADE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290B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8732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64D2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EF52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D947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52</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37F6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204刘庄中心路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74FB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1C80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6866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BF92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5D29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58B9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68D1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D185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8B6D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E08A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4331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89BD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DCB6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3B49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A66D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9F3F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D8DC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4DDC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458F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A29F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9B11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72B5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A563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5824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0FB0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5F7C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76DA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44C1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5788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3378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3F44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B51B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A2FC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4631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AED2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0776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9041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9A02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1B13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53</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467E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新村路与花园路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817E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9498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1B23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E5C6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2779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48E1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73DC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F29C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61AD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C130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A329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F630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A093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AF4D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83FC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228D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BE62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568C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4CE7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A98D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26FB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551B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BD2B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3339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56EC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DC35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C054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1405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410B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A4AC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C18C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5EFC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A383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76A4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3531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C495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A35E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FA78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515C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54</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6319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飞达路与勤政北路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40B4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DFA3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6358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C8AC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9FE7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9B90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7DE3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5FDA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76BF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7EB6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8C77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EC99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4A4B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6C95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C54C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6F36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23F8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878B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E0A6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B3AB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C534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C7E4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A9C4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1907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3BA0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2E6A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8831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8C25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C44F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3868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080C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FE7D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CBFF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11C5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4973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B3AB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4E6E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EDB2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A215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60</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B9B2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新北路与高丰路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A39B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7FB4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4100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8420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6C5D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9A83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B94C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6650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6493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48DE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0617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8ACD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DE8E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6BA6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064E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1967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85E8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B2B8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805B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F3E2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68B8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27D4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F162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C391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1A4D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FB02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2951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5062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786B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9A5B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A096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3BAA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2ABA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37A4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73CF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EEC6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BAEC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6EED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CE24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61</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DC4E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常州路与常青路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F881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D76F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FA20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8830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4855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4590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6DCB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03CA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4C0A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DE3F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CC2C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E8F2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4D31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46C2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BAB2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8E87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F598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393A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BA2D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B581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959F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D886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5072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188A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D5D0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3DE5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DB96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8569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9876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A527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9F16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98E2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DFAB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3733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5495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77F0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A937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0E23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3DB0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62</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9F7F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陈李线（226）与大桥民建路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7707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F2BC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8F75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F108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6C9C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E629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56C8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986E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4172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B6C9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6DBA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976E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2CA1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4CF2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45A2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CD9B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D857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5C9F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EF56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C240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BEE6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7CBC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580C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39E3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FF1A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882D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5409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6D2D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6927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0DB4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FDCE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ACE7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74A3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8EC4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9900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C1B9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4668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B437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99EC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67</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0629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新村路与东宁路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37BA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675C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8252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B2F1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A52F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BD00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6D21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206E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722E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68</w:t>
            </w:r>
          </w:p>
        </w:tc>
        <w:tc>
          <w:tcPr>
            <w:tcW w:w="1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D73F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新村（东方路）与春柳路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CEE8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4DE7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C861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B21F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51A7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EB9E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A320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D8F6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F238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69</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A50A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新村（东方路）与勤政路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7354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0D30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C30D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28EF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DEDE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2DD1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2D74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1B28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5F98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70</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4931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新村（东方路）与鹿鸣路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9316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AB3E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D92F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2194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56E8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E07B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C0C8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D27F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FB91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71</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E158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新村路与五一路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2547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91B9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3372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9DDB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68AD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51A0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C7F3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96A4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DB36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72</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6C64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新村路与高丰路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CED9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23FE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2A7E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A02A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CF66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5B1B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EA4C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1456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B6D3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73</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D9A7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新村路与万丰路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C76F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42BB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4C1C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B303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3989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D5D4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40B4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CE01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2F69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74</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253ED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新村路与裕丰路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5873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DD99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F6B9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67AC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ACDE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5AB7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0F39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20D2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54CF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ADC8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3EA1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A57C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04DF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498B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DAE9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B2AC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2AF1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7152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8549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4DE9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49DC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F8D0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78C3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4604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6BE1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D1C1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C517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F734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B550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BDC9B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56F1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122F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7126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E14E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2FCA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EF6D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A954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4316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F290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75</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8309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新村路与福成路（东方路交丰中线）</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65AB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264C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5C93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2AA8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9680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F36E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EFF3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E8D1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B44A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76</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060E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飞达路与丰华路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F1C7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A6FB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D7EE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2A16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BD54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421F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D9B5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BE5D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57DE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77</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62C3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飞达路与五一路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B4A9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3536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F971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92E9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7A32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5D85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11BA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344C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BB32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78</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BA4F3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飞达路与万丰路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DF97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B0BD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F536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0BC5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D46A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7E9C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FD77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CEF7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D5BB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16CED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8EDF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60E3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7570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9F16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ED99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8518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2293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D87D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413F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05E4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3890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4BD8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F185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1BB9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54DE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77CA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CD77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C246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6AB1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5E00C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74D4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B786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7118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1DA1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2FCA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69BE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BC6B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6EE5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4A8B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79</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6564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幸福路与东沿河路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2006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0688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7167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FA58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D139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0CD8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2A4F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2C20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5CB2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80</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EA34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幸福路与春柳路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3D1E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FDF2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BCF9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E19A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7A87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F42A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1436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BCBB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C1A2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81</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E2B8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幸福路与高丰路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93EA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6ADD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87DC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B4AA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DEF4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9121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630D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7C4A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95E3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82</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60C7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幸福路与裕丰路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CC1B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1C59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CDE8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CFB8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E9A4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386D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428B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75E6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FB92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83</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E2FF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幸福路与福成路（丰中线）</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3625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6E19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A68F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AF89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ECAF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FEC1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BC60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B0DE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B053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84</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472F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健康东路与春柳路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AA63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E34D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FA7F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B1C4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39C2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113B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9304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6B2F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53E5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85</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A5BD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益民路与康平路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CDF3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9D24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E7AF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63B5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2298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569F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AAF1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ED16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B138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86</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8246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益民路与西康路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3A99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FC1D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4500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BE7E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8702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2260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F564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4E8E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509A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87</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38BC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新北路与五一路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1AC2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FF4F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FA8A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AA00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8CDC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8275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33FD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8ABA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477F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88</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61C1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新北路与万丰路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392A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D127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AC87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DB8B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2697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EFB6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D7D6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CE22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48F6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89</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A381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新北路与福成路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9FC8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6078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789D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D329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0B41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B13C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9CE3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DF09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3C7C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90</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4573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福成路与飞达路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5B0F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F750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3CF0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1BAC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5213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835E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00BF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9EA4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619C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91</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58AB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常新南路与南环路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CD2A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CAB5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A28E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747E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1E3B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C1FC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5832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411E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6848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92</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CA68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228国道与盐洛高速(G1516)</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9EAD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9B91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F8C6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A4A5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BB50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AF89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7EC7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35EF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04D5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93</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1D4A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226省道与南二环（展望）</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75FB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1BC5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1372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9CB7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8AE2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C1FC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5C99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DC2C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D558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94</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7161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226省道与南环路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0B22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5980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BF7C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6137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0156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DC61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BC38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EEAC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7FE3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95</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ADA3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通港大道（343）与宁波港路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4020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F196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DE5C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FC6A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35FF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2595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7F7B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4D0A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A506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96</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F37C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通港大道与海堤路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CD34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E406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A4CA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6357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D40E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75F9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E6D8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8DD0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A2F3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98</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A9F46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上海港路与泰晤士港路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97C2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3E34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BC31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B648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F281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86D8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8389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C16A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342F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DFE50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D01F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2AFA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5D7F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9AB7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506D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0A74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5089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A901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41EE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03C5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D754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B934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4D10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2CDB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E61E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2C0E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DC2B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38A5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2CD2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C10D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4CEC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2421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2D60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1F62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2B32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3846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EBA0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C07A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3A3E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100</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DEE6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日月湖大道与青岛港路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370B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4574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2387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082C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9039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407A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E662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959D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8377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101</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1CD1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龙城大道与（瑞阳路）红刚线</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CC64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A214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6613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EB29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090E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A3A4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1753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35D1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9086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102</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C4E6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龙城大道（大西线）与东塘路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5738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A1E8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7ACF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BAAD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5A9A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641C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BC1F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26AF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9A18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103</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6D6B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新时代大道与纬二路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AC76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0534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97B1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1919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4845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DFDD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601A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740D9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8771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104</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0449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永为路交众合路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ED71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0126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C06B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9C74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0168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CA1D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B5BA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1B0C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223F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105</w:t>
            </w:r>
          </w:p>
        </w:tc>
        <w:tc>
          <w:tcPr>
            <w:tcW w:w="1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3E14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7E48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1D0B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34F0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76E3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18</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A698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D740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1536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BC08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25A8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106</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7FFD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南港大道与大别山路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C56B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245B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7F67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4D36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3DFF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E233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53B6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CC2A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6A98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7880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D2A7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D292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0773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9011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9E31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D56D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25B7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C579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6D94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4434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C84E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4E6E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64AA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072A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144C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ED3B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A7DA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6253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66D0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D772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A100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北</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F5DC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0017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A42F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4D00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D50D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2312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DED2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8910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107</w:t>
            </w:r>
          </w:p>
        </w:tc>
        <w:tc>
          <w:tcPr>
            <w:tcW w:w="1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1D33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东方路与大中路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545D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C034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9ECC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FF57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6252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CA08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A17AB">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14:textFill>
                  <w14:solidFill>
                    <w14:schemeClr w14:val="tx1"/>
                  </w14:solidFill>
                </w14:textFill>
              </w:rPr>
              <w:t>包含</w:t>
            </w:r>
            <w:r>
              <w:rPr>
                <w:rFonts w:hint="eastAsia" w:ascii="宋体" w:hAnsi="宋体" w:eastAsia="宋体" w:cs="宋体"/>
                <w:i w:val="0"/>
                <w:iCs w:val="0"/>
                <w:color w:val="000000" w:themeColor="text1"/>
                <w:sz w:val="22"/>
                <w:szCs w:val="22"/>
                <w:u w:val="none"/>
                <w14:textFill>
                  <w14:solidFill>
                    <w14:schemeClr w14:val="tx1"/>
                  </w14:solidFill>
                </w14:textFill>
              </w:rPr>
              <w:t>电警、信号灯控制箱迁移</w:t>
            </w:r>
          </w:p>
          <w:p w14:paraId="70B7AF56">
            <w:pPr>
              <w:jc w:val="center"/>
              <w:rPr>
                <w:rFonts w:hint="default" w:ascii="宋体" w:hAnsi="宋体" w:eastAsia="宋体" w:cs="宋体"/>
                <w:i w:val="0"/>
                <w:iCs w:val="0"/>
                <w:color w:val="000000" w:themeColor="text1"/>
                <w:sz w:val="22"/>
                <w:szCs w:val="22"/>
                <w:u w:val="none"/>
                <w:lang w:val="en-US" w:eastAsia="zh-CN"/>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14:textFill>
                  <w14:solidFill>
                    <w14:schemeClr w14:val="tx1"/>
                  </w14:solidFill>
                </w14:textFill>
              </w:rPr>
              <w:t>和所需管道及线缆</w:t>
            </w:r>
          </w:p>
        </w:tc>
      </w:tr>
      <w:tr w14:paraId="69C09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7B4E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108</w:t>
            </w:r>
          </w:p>
        </w:tc>
        <w:tc>
          <w:tcPr>
            <w:tcW w:w="1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9DAF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西康路黄海路</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85F8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44C0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D9C5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E4C1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43B7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6C8D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C906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39B4D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2963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109</w:t>
            </w:r>
          </w:p>
        </w:tc>
        <w:tc>
          <w:tcPr>
            <w:tcW w:w="1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2ED3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国土局门口</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D97F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0272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C2D2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0DE1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C23F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8A44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DAF8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A420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4F9E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110</w:t>
            </w:r>
          </w:p>
        </w:tc>
        <w:tc>
          <w:tcPr>
            <w:tcW w:w="1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4BC6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上海花园东门</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87BD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1F097">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3DF1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A9D8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7ECB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C11B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10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5D18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bl>
    <w:p w14:paraId="09679605">
      <w:pPr>
        <w:rPr>
          <w:rFonts w:hint="eastAsia" w:ascii="宋体" w:hAnsi="宋体" w:eastAsia="宋体" w:cs="宋体"/>
          <w:b/>
          <w:bCs/>
          <w:color w:val="auto"/>
          <w:kern w:val="2"/>
          <w:sz w:val="24"/>
          <w:szCs w:val="22"/>
          <w:lang w:val="en-US" w:eastAsia="zh-CN"/>
        </w:rPr>
      </w:pPr>
    </w:p>
    <w:p w14:paraId="12A997D7">
      <w:pPr>
        <w:rPr>
          <w:rFonts w:hint="eastAsia" w:ascii="宋体" w:hAnsi="宋体" w:eastAsia="宋体" w:cs="宋体"/>
          <w:b/>
          <w:bCs/>
          <w:color w:val="auto"/>
          <w:kern w:val="2"/>
          <w:sz w:val="24"/>
          <w:szCs w:val="22"/>
          <w:lang w:val="en-US" w:eastAsia="zh-CN"/>
        </w:rPr>
      </w:pPr>
      <w:r>
        <w:rPr>
          <w:rFonts w:hint="eastAsia" w:ascii="宋体" w:hAnsi="宋体" w:eastAsia="宋体" w:cs="宋体"/>
          <w:b/>
          <w:bCs/>
          <w:color w:val="auto"/>
          <w:kern w:val="2"/>
          <w:sz w:val="24"/>
          <w:szCs w:val="22"/>
          <w:lang w:val="en-US" w:eastAsia="zh-CN"/>
        </w:rPr>
        <w:t>园区监控建设点位</w:t>
      </w:r>
    </w:p>
    <w:p w14:paraId="3D061700">
      <w:pPr>
        <w:rPr>
          <w:rFonts w:hint="eastAsia" w:ascii="宋体" w:hAnsi="宋体" w:eastAsia="宋体" w:cs="宋体"/>
          <w:b/>
          <w:bCs/>
          <w:color w:val="auto"/>
          <w:kern w:val="2"/>
          <w:sz w:val="24"/>
          <w:szCs w:val="22"/>
          <w:lang w:val="en-US" w:eastAsia="zh-CN"/>
        </w:rPr>
      </w:pP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15"/>
        <w:gridCol w:w="2085"/>
        <w:gridCol w:w="1425"/>
        <w:gridCol w:w="1425"/>
        <w:gridCol w:w="815"/>
        <w:gridCol w:w="1153"/>
        <w:gridCol w:w="1150"/>
        <w:gridCol w:w="1337"/>
        <w:gridCol w:w="1325"/>
        <w:gridCol w:w="1175"/>
        <w:gridCol w:w="1402"/>
      </w:tblGrid>
      <w:tr w14:paraId="20E71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5000" w:type="pct"/>
            <w:gridSpan w:val="11"/>
            <w:shd w:val="clear" w:color="auto" w:fill="auto"/>
            <w:noWrap/>
            <w:vAlign w:val="center"/>
          </w:tcPr>
          <w:p w14:paraId="478384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园区等路口电警卡口前端建设</w:t>
            </w:r>
          </w:p>
        </w:tc>
      </w:tr>
      <w:tr w14:paraId="0D5D2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40" w:hRule="atLeast"/>
        </w:trPr>
        <w:tc>
          <w:tcPr>
            <w:tcW w:w="288" w:type="pct"/>
            <w:shd w:val="clear" w:color="auto" w:fill="auto"/>
            <w:vAlign w:val="center"/>
          </w:tcPr>
          <w:p w14:paraId="38BD762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738" w:type="pct"/>
            <w:shd w:val="clear" w:color="auto" w:fill="auto"/>
            <w:vAlign w:val="center"/>
          </w:tcPr>
          <w:p w14:paraId="703F966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路口名称</w:t>
            </w:r>
          </w:p>
        </w:tc>
        <w:tc>
          <w:tcPr>
            <w:tcW w:w="505" w:type="pct"/>
            <w:shd w:val="clear" w:color="auto" w:fill="auto"/>
            <w:vAlign w:val="center"/>
          </w:tcPr>
          <w:p w14:paraId="25EF18B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经度（GCJ-202）</w:t>
            </w:r>
          </w:p>
        </w:tc>
        <w:tc>
          <w:tcPr>
            <w:tcW w:w="505" w:type="pct"/>
            <w:shd w:val="clear" w:color="auto" w:fill="auto"/>
            <w:vAlign w:val="center"/>
          </w:tcPr>
          <w:p w14:paraId="39A472C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维度（GCJ-202）</w:t>
            </w:r>
          </w:p>
        </w:tc>
        <w:tc>
          <w:tcPr>
            <w:tcW w:w="288" w:type="pct"/>
            <w:shd w:val="clear" w:color="auto" w:fill="auto"/>
            <w:vAlign w:val="center"/>
          </w:tcPr>
          <w:p w14:paraId="018111B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方向</w:t>
            </w:r>
          </w:p>
        </w:tc>
        <w:tc>
          <w:tcPr>
            <w:tcW w:w="408" w:type="pct"/>
            <w:shd w:val="clear" w:color="auto" w:fill="auto"/>
            <w:vAlign w:val="center"/>
          </w:tcPr>
          <w:p w14:paraId="1B4C9A8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900万电警相机</w:t>
            </w:r>
          </w:p>
        </w:tc>
        <w:tc>
          <w:tcPr>
            <w:tcW w:w="407" w:type="pct"/>
            <w:shd w:val="clear" w:color="auto" w:fill="auto"/>
            <w:vAlign w:val="center"/>
          </w:tcPr>
          <w:p w14:paraId="1F38D6D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500万电警相机</w:t>
            </w:r>
          </w:p>
        </w:tc>
        <w:tc>
          <w:tcPr>
            <w:tcW w:w="473" w:type="pct"/>
            <w:shd w:val="clear" w:color="auto" w:fill="auto"/>
            <w:vAlign w:val="center"/>
          </w:tcPr>
          <w:p w14:paraId="2F820CF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900万环保卡口相机</w:t>
            </w:r>
          </w:p>
        </w:tc>
        <w:tc>
          <w:tcPr>
            <w:tcW w:w="469" w:type="pct"/>
            <w:shd w:val="clear" w:color="auto" w:fill="auto"/>
            <w:vAlign w:val="center"/>
          </w:tcPr>
          <w:p w14:paraId="16624D5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500万环保卡口相机</w:t>
            </w:r>
          </w:p>
        </w:tc>
        <w:tc>
          <w:tcPr>
            <w:tcW w:w="416" w:type="pct"/>
            <w:shd w:val="clear" w:color="auto" w:fill="auto"/>
            <w:vAlign w:val="center"/>
          </w:tcPr>
          <w:p w14:paraId="70D8D9D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400W双镜头球机</w:t>
            </w:r>
          </w:p>
        </w:tc>
        <w:tc>
          <w:tcPr>
            <w:tcW w:w="496" w:type="pct"/>
            <w:shd w:val="clear" w:color="auto" w:fill="auto"/>
            <w:vAlign w:val="center"/>
          </w:tcPr>
          <w:p w14:paraId="16500A1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14:paraId="123E8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restart"/>
            <w:shd w:val="clear" w:color="auto" w:fill="auto"/>
            <w:noWrap/>
            <w:vAlign w:val="center"/>
          </w:tcPr>
          <w:p w14:paraId="5F6745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38" w:type="pct"/>
            <w:vMerge w:val="restart"/>
            <w:shd w:val="clear" w:color="auto" w:fill="auto"/>
            <w:noWrap/>
            <w:vAlign w:val="center"/>
          </w:tcPr>
          <w:p w14:paraId="214635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常州路与常青路</w:t>
            </w:r>
          </w:p>
        </w:tc>
        <w:tc>
          <w:tcPr>
            <w:tcW w:w="505" w:type="pct"/>
            <w:vMerge w:val="restart"/>
            <w:shd w:val="clear" w:color="auto" w:fill="auto"/>
            <w:noWrap/>
            <w:vAlign w:val="center"/>
          </w:tcPr>
          <w:p w14:paraId="3BBDFA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120.3887512</w:t>
            </w:r>
          </w:p>
        </w:tc>
        <w:tc>
          <w:tcPr>
            <w:tcW w:w="505" w:type="pct"/>
            <w:vMerge w:val="restart"/>
            <w:shd w:val="clear" w:color="auto" w:fill="auto"/>
            <w:noWrap/>
            <w:vAlign w:val="center"/>
          </w:tcPr>
          <w:p w14:paraId="40B93F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33.17006268</w:t>
            </w:r>
          </w:p>
        </w:tc>
        <w:tc>
          <w:tcPr>
            <w:tcW w:w="288" w:type="pct"/>
            <w:shd w:val="clear" w:color="auto" w:fill="auto"/>
            <w:noWrap/>
            <w:vAlign w:val="center"/>
          </w:tcPr>
          <w:p w14:paraId="2A2EA8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w:t>
            </w:r>
          </w:p>
        </w:tc>
        <w:tc>
          <w:tcPr>
            <w:tcW w:w="408" w:type="pct"/>
            <w:shd w:val="clear" w:color="auto" w:fill="auto"/>
            <w:noWrap/>
            <w:vAlign w:val="center"/>
          </w:tcPr>
          <w:p w14:paraId="00FDE6A0">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42DB90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44255173">
            <w:pPr>
              <w:jc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7D803B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7D1070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vMerge w:val="restart"/>
            <w:shd w:val="clear" w:color="auto" w:fill="auto"/>
            <w:noWrap/>
            <w:vAlign w:val="center"/>
          </w:tcPr>
          <w:p w14:paraId="133027F4">
            <w:pPr>
              <w:jc w:val="center"/>
              <w:rPr>
                <w:rFonts w:hint="eastAsia" w:ascii="宋体" w:hAnsi="宋体" w:eastAsia="宋体" w:cs="宋体"/>
                <w:i w:val="0"/>
                <w:iCs w:val="0"/>
                <w:color w:val="000000"/>
                <w:sz w:val="22"/>
                <w:szCs w:val="22"/>
                <w:u w:val="none"/>
              </w:rPr>
            </w:pPr>
          </w:p>
        </w:tc>
      </w:tr>
      <w:tr w14:paraId="78E31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418015BF">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3D0E4ED4">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27C4B87F">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78063423">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5E7D15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w:t>
            </w:r>
          </w:p>
        </w:tc>
        <w:tc>
          <w:tcPr>
            <w:tcW w:w="408" w:type="pct"/>
            <w:shd w:val="clear" w:color="auto" w:fill="auto"/>
            <w:noWrap/>
            <w:vAlign w:val="center"/>
          </w:tcPr>
          <w:p w14:paraId="54ADF7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3CA59091">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73529F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7C184AB8">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1403E7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vMerge w:val="continue"/>
            <w:shd w:val="clear" w:color="auto" w:fill="auto"/>
            <w:noWrap/>
            <w:vAlign w:val="center"/>
          </w:tcPr>
          <w:p w14:paraId="09A18DBC">
            <w:pPr>
              <w:jc w:val="center"/>
              <w:rPr>
                <w:rFonts w:hint="eastAsia" w:ascii="宋体" w:hAnsi="宋体" w:eastAsia="宋体" w:cs="宋体"/>
                <w:i w:val="0"/>
                <w:iCs w:val="0"/>
                <w:color w:val="000000"/>
                <w:sz w:val="22"/>
                <w:szCs w:val="22"/>
                <w:u w:val="none"/>
              </w:rPr>
            </w:pPr>
          </w:p>
        </w:tc>
      </w:tr>
      <w:tr w14:paraId="45CE1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7BE623D2">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16B9E53C">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091E93BD">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35F1D3C3">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38E6F8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w:t>
            </w:r>
          </w:p>
        </w:tc>
        <w:tc>
          <w:tcPr>
            <w:tcW w:w="408" w:type="pct"/>
            <w:shd w:val="clear" w:color="auto" w:fill="auto"/>
            <w:noWrap/>
            <w:vAlign w:val="center"/>
          </w:tcPr>
          <w:p w14:paraId="327AAE88">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1C5828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4B30AA76">
            <w:pPr>
              <w:jc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1103A9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0D440C41">
            <w:pPr>
              <w:jc w:val="center"/>
              <w:rPr>
                <w:rFonts w:hint="eastAsia" w:ascii="宋体" w:hAnsi="宋体" w:eastAsia="宋体" w:cs="宋体"/>
                <w:i w:val="0"/>
                <w:iCs w:val="0"/>
                <w:color w:val="000000"/>
                <w:sz w:val="22"/>
                <w:szCs w:val="22"/>
                <w:u w:val="none"/>
              </w:rPr>
            </w:pPr>
          </w:p>
        </w:tc>
        <w:tc>
          <w:tcPr>
            <w:tcW w:w="496" w:type="pct"/>
            <w:vMerge w:val="continue"/>
            <w:shd w:val="clear" w:color="auto" w:fill="auto"/>
            <w:noWrap/>
            <w:vAlign w:val="center"/>
          </w:tcPr>
          <w:p w14:paraId="55EE2F9E">
            <w:pPr>
              <w:jc w:val="center"/>
              <w:rPr>
                <w:rFonts w:hint="eastAsia" w:ascii="宋体" w:hAnsi="宋体" w:eastAsia="宋体" w:cs="宋体"/>
                <w:i w:val="0"/>
                <w:iCs w:val="0"/>
                <w:color w:val="000000"/>
                <w:sz w:val="22"/>
                <w:szCs w:val="22"/>
                <w:u w:val="none"/>
              </w:rPr>
            </w:pPr>
          </w:p>
        </w:tc>
      </w:tr>
      <w:tr w14:paraId="25E68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5A7194BD">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24EB2C2C">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7C18F1A2">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6CA0C7D6">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26266E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w:t>
            </w:r>
          </w:p>
        </w:tc>
        <w:tc>
          <w:tcPr>
            <w:tcW w:w="408" w:type="pct"/>
            <w:shd w:val="clear" w:color="auto" w:fill="auto"/>
            <w:noWrap/>
            <w:vAlign w:val="center"/>
          </w:tcPr>
          <w:p w14:paraId="3D2D11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3D437368">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7512CC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55EEC445">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57DDDB26">
            <w:pPr>
              <w:jc w:val="center"/>
              <w:rPr>
                <w:rFonts w:hint="eastAsia" w:ascii="宋体" w:hAnsi="宋体" w:eastAsia="宋体" w:cs="宋体"/>
                <w:i w:val="0"/>
                <w:iCs w:val="0"/>
                <w:color w:val="000000"/>
                <w:sz w:val="22"/>
                <w:szCs w:val="22"/>
                <w:u w:val="none"/>
              </w:rPr>
            </w:pPr>
          </w:p>
        </w:tc>
        <w:tc>
          <w:tcPr>
            <w:tcW w:w="496" w:type="pct"/>
            <w:vMerge w:val="continue"/>
            <w:shd w:val="clear" w:color="auto" w:fill="auto"/>
            <w:noWrap/>
            <w:vAlign w:val="center"/>
          </w:tcPr>
          <w:p w14:paraId="4DDA9659">
            <w:pPr>
              <w:jc w:val="center"/>
              <w:rPr>
                <w:rFonts w:hint="eastAsia" w:ascii="宋体" w:hAnsi="宋体" w:eastAsia="宋体" w:cs="宋体"/>
                <w:i w:val="0"/>
                <w:iCs w:val="0"/>
                <w:color w:val="000000"/>
                <w:sz w:val="22"/>
                <w:szCs w:val="22"/>
                <w:u w:val="none"/>
              </w:rPr>
            </w:pPr>
          </w:p>
        </w:tc>
      </w:tr>
      <w:tr w14:paraId="14471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restart"/>
            <w:shd w:val="clear" w:color="auto" w:fill="auto"/>
            <w:noWrap/>
            <w:vAlign w:val="center"/>
          </w:tcPr>
          <w:p w14:paraId="2543A6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38" w:type="pct"/>
            <w:vMerge w:val="restart"/>
            <w:shd w:val="clear" w:color="auto" w:fill="auto"/>
            <w:noWrap/>
            <w:vAlign w:val="center"/>
          </w:tcPr>
          <w:p w14:paraId="2C17F0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常州路与友谊路</w:t>
            </w:r>
          </w:p>
        </w:tc>
        <w:tc>
          <w:tcPr>
            <w:tcW w:w="505" w:type="pct"/>
            <w:vMerge w:val="restart"/>
            <w:shd w:val="clear" w:color="auto" w:fill="auto"/>
            <w:noWrap/>
            <w:vAlign w:val="center"/>
          </w:tcPr>
          <w:p w14:paraId="1CC1C3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120.3904384</w:t>
            </w:r>
          </w:p>
        </w:tc>
        <w:tc>
          <w:tcPr>
            <w:tcW w:w="505" w:type="pct"/>
            <w:vMerge w:val="restart"/>
            <w:shd w:val="clear" w:color="auto" w:fill="auto"/>
            <w:noWrap/>
            <w:vAlign w:val="center"/>
          </w:tcPr>
          <w:p w14:paraId="139136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33.16623102</w:t>
            </w:r>
          </w:p>
        </w:tc>
        <w:tc>
          <w:tcPr>
            <w:tcW w:w="288" w:type="pct"/>
            <w:shd w:val="clear" w:color="auto" w:fill="auto"/>
            <w:noWrap/>
            <w:vAlign w:val="center"/>
          </w:tcPr>
          <w:p w14:paraId="48D992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w:t>
            </w:r>
          </w:p>
        </w:tc>
        <w:tc>
          <w:tcPr>
            <w:tcW w:w="408" w:type="pct"/>
            <w:shd w:val="clear" w:color="auto" w:fill="auto"/>
            <w:noWrap/>
            <w:vAlign w:val="center"/>
          </w:tcPr>
          <w:p w14:paraId="7F18DE1D">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4FD8D09A">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7DDD439C">
            <w:pPr>
              <w:jc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5C4A62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27CA1E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3BF6565F">
            <w:pPr>
              <w:jc w:val="center"/>
              <w:rPr>
                <w:rFonts w:hint="eastAsia" w:ascii="宋体" w:hAnsi="宋体" w:eastAsia="宋体" w:cs="宋体"/>
                <w:i w:val="0"/>
                <w:iCs w:val="0"/>
                <w:color w:val="000000"/>
                <w:sz w:val="22"/>
                <w:szCs w:val="22"/>
                <w:u w:val="none"/>
              </w:rPr>
            </w:pPr>
          </w:p>
        </w:tc>
      </w:tr>
      <w:tr w14:paraId="3B738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7898C9C3">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3EE9A72A">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2E8259E1">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075E9D8E">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5786AC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w:t>
            </w:r>
          </w:p>
        </w:tc>
        <w:tc>
          <w:tcPr>
            <w:tcW w:w="408" w:type="pct"/>
            <w:shd w:val="clear" w:color="auto" w:fill="auto"/>
            <w:noWrap/>
            <w:vAlign w:val="center"/>
          </w:tcPr>
          <w:p w14:paraId="2244D98C">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645643CD">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3A612C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03BC1C93">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66FC23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521D591D">
            <w:pPr>
              <w:jc w:val="center"/>
              <w:rPr>
                <w:rFonts w:hint="eastAsia" w:ascii="宋体" w:hAnsi="宋体" w:eastAsia="宋体" w:cs="宋体"/>
                <w:i w:val="0"/>
                <w:iCs w:val="0"/>
                <w:color w:val="000000"/>
                <w:sz w:val="22"/>
                <w:szCs w:val="22"/>
                <w:u w:val="none"/>
              </w:rPr>
            </w:pPr>
          </w:p>
        </w:tc>
      </w:tr>
      <w:tr w14:paraId="120EF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3788C2B9">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324FEED0">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1657DE75">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0D5C8627">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40E1FD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w:t>
            </w:r>
          </w:p>
        </w:tc>
        <w:tc>
          <w:tcPr>
            <w:tcW w:w="408" w:type="pct"/>
            <w:shd w:val="clear" w:color="auto" w:fill="auto"/>
            <w:noWrap/>
            <w:vAlign w:val="center"/>
          </w:tcPr>
          <w:p w14:paraId="0EDACE96">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3612A3E6">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132E179E">
            <w:pPr>
              <w:jc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54F2B8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4B201ED9">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24F1130F">
            <w:pPr>
              <w:jc w:val="center"/>
              <w:rPr>
                <w:rFonts w:hint="eastAsia" w:ascii="宋体" w:hAnsi="宋体" w:eastAsia="宋体" w:cs="宋体"/>
                <w:i w:val="0"/>
                <w:iCs w:val="0"/>
                <w:color w:val="000000"/>
                <w:sz w:val="22"/>
                <w:szCs w:val="22"/>
                <w:u w:val="none"/>
              </w:rPr>
            </w:pPr>
          </w:p>
        </w:tc>
      </w:tr>
      <w:tr w14:paraId="4B5BE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7AB087A3">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264DB3D0">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53DC2B08">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1129FD9C">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140C43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w:t>
            </w:r>
          </w:p>
        </w:tc>
        <w:tc>
          <w:tcPr>
            <w:tcW w:w="408" w:type="pct"/>
            <w:shd w:val="clear" w:color="auto" w:fill="auto"/>
            <w:noWrap/>
            <w:vAlign w:val="center"/>
          </w:tcPr>
          <w:p w14:paraId="1577112D">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72C7A1CE">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37158D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5B1BF454">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1FA09EDF">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1A1B3F37">
            <w:pPr>
              <w:jc w:val="center"/>
              <w:rPr>
                <w:rFonts w:hint="eastAsia" w:ascii="宋体" w:hAnsi="宋体" w:eastAsia="宋体" w:cs="宋体"/>
                <w:i w:val="0"/>
                <w:iCs w:val="0"/>
                <w:color w:val="000000"/>
                <w:sz w:val="22"/>
                <w:szCs w:val="22"/>
                <w:u w:val="none"/>
              </w:rPr>
            </w:pPr>
          </w:p>
        </w:tc>
      </w:tr>
      <w:tr w14:paraId="7647F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restart"/>
            <w:shd w:val="clear" w:color="auto" w:fill="auto"/>
            <w:noWrap/>
            <w:vAlign w:val="center"/>
          </w:tcPr>
          <w:p w14:paraId="5BCBE9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38" w:type="pct"/>
            <w:vMerge w:val="restart"/>
            <w:shd w:val="clear" w:color="auto" w:fill="auto"/>
            <w:noWrap/>
            <w:vAlign w:val="center"/>
          </w:tcPr>
          <w:p w14:paraId="5BB688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常州路与团结路</w:t>
            </w:r>
          </w:p>
        </w:tc>
        <w:tc>
          <w:tcPr>
            <w:tcW w:w="505" w:type="pct"/>
            <w:vMerge w:val="restart"/>
            <w:shd w:val="clear" w:color="auto" w:fill="auto"/>
            <w:noWrap/>
            <w:vAlign w:val="center"/>
          </w:tcPr>
          <w:p w14:paraId="5F74FC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120.3915864</w:t>
            </w:r>
          </w:p>
        </w:tc>
        <w:tc>
          <w:tcPr>
            <w:tcW w:w="505" w:type="pct"/>
            <w:vMerge w:val="restart"/>
            <w:shd w:val="clear" w:color="auto" w:fill="auto"/>
            <w:noWrap/>
            <w:vAlign w:val="center"/>
          </w:tcPr>
          <w:p w14:paraId="4F32CA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33.16379065</w:t>
            </w:r>
          </w:p>
        </w:tc>
        <w:tc>
          <w:tcPr>
            <w:tcW w:w="288" w:type="pct"/>
            <w:shd w:val="clear" w:color="auto" w:fill="auto"/>
            <w:noWrap/>
            <w:vAlign w:val="center"/>
          </w:tcPr>
          <w:p w14:paraId="67EA63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w:t>
            </w:r>
          </w:p>
        </w:tc>
        <w:tc>
          <w:tcPr>
            <w:tcW w:w="408" w:type="pct"/>
            <w:shd w:val="clear" w:color="auto" w:fill="auto"/>
            <w:noWrap/>
            <w:vAlign w:val="center"/>
          </w:tcPr>
          <w:p w14:paraId="783C17C5">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58708F93">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0A8E0959">
            <w:pPr>
              <w:jc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1FE235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73851A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2D217C97">
            <w:pPr>
              <w:jc w:val="center"/>
              <w:rPr>
                <w:rFonts w:hint="eastAsia" w:ascii="宋体" w:hAnsi="宋体" w:eastAsia="宋体" w:cs="宋体"/>
                <w:i w:val="0"/>
                <w:iCs w:val="0"/>
                <w:color w:val="000000"/>
                <w:sz w:val="22"/>
                <w:szCs w:val="22"/>
                <w:u w:val="none"/>
              </w:rPr>
            </w:pPr>
          </w:p>
        </w:tc>
      </w:tr>
      <w:tr w14:paraId="042D9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5D14DC9D">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6A772BA3">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213BBD49">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322E0E2E">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14C350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w:t>
            </w:r>
          </w:p>
        </w:tc>
        <w:tc>
          <w:tcPr>
            <w:tcW w:w="408" w:type="pct"/>
            <w:shd w:val="clear" w:color="auto" w:fill="auto"/>
            <w:noWrap/>
            <w:vAlign w:val="center"/>
          </w:tcPr>
          <w:p w14:paraId="62F3CBAD">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3E421C34">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7736D2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58885B02">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197644FE">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0E16476F">
            <w:pPr>
              <w:jc w:val="center"/>
              <w:rPr>
                <w:rFonts w:hint="eastAsia" w:ascii="宋体" w:hAnsi="宋体" w:eastAsia="宋体" w:cs="宋体"/>
                <w:i w:val="0"/>
                <w:iCs w:val="0"/>
                <w:color w:val="000000"/>
                <w:sz w:val="22"/>
                <w:szCs w:val="22"/>
                <w:u w:val="none"/>
              </w:rPr>
            </w:pPr>
          </w:p>
        </w:tc>
      </w:tr>
      <w:tr w14:paraId="3B25E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26AA65A1">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50631E7B">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1175AB22">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5C77C213">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684D56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w:t>
            </w:r>
          </w:p>
        </w:tc>
        <w:tc>
          <w:tcPr>
            <w:tcW w:w="408" w:type="pct"/>
            <w:shd w:val="clear" w:color="auto" w:fill="auto"/>
            <w:noWrap/>
            <w:vAlign w:val="center"/>
          </w:tcPr>
          <w:p w14:paraId="49E80B96">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21B563B7">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1770FFC1">
            <w:pPr>
              <w:jc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34B005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22797035">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41296B1F">
            <w:pPr>
              <w:jc w:val="center"/>
              <w:rPr>
                <w:rFonts w:hint="eastAsia" w:ascii="宋体" w:hAnsi="宋体" w:eastAsia="宋体" w:cs="宋体"/>
                <w:i w:val="0"/>
                <w:iCs w:val="0"/>
                <w:color w:val="000000"/>
                <w:sz w:val="22"/>
                <w:szCs w:val="22"/>
                <w:u w:val="none"/>
              </w:rPr>
            </w:pPr>
          </w:p>
        </w:tc>
      </w:tr>
      <w:tr w14:paraId="3DD8D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3FDE949D">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39F91CC3">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4AED85A4">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02C892B8">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563E1C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w:t>
            </w:r>
          </w:p>
        </w:tc>
        <w:tc>
          <w:tcPr>
            <w:tcW w:w="408" w:type="pct"/>
            <w:shd w:val="clear" w:color="auto" w:fill="auto"/>
            <w:noWrap/>
            <w:vAlign w:val="center"/>
          </w:tcPr>
          <w:p w14:paraId="119B1E27">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3E9D3658">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43C934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595E2766">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7302475D">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23CC2E04">
            <w:pPr>
              <w:jc w:val="center"/>
              <w:rPr>
                <w:rFonts w:hint="eastAsia" w:ascii="宋体" w:hAnsi="宋体" w:eastAsia="宋体" w:cs="宋体"/>
                <w:i w:val="0"/>
                <w:iCs w:val="0"/>
                <w:color w:val="000000"/>
                <w:sz w:val="22"/>
                <w:szCs w:val="22"/>
                <w:u w:val="none"/>
              </w:rPr>
            </w:pPr>
          </w:p>
        </w:tc>
      </w:tr>
      <w:tr w14:paraId="7DAAC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restart"/>
            <w:shd w:val="clear" w:color="auto" w:fill="auto"/>
            <w:noWrap/>
            <w:vAlign w:val="center"/>
          </w:tcPr>
          <w:p w14:paraId="113611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38" w:type="pct"/>
            <w:vMerge w:val="restart"/>
            <w:shd w:val="clear" w:color="auto" w:fill="auto"/>
            <w:noWrap/>
            <w:vAlign w:val="center"/>
          </w:tcPr>
          <w:p w14:paraId="7F76C0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常州路与张謇路</w:t>
            </w:r>
          </w:p>
        </w:tc>
        <w:tc>
          <w:tcPr>
            <w:tcW w:w="505" w:type="pct"/>
            <w:vMerge w:val="restart"/>
            <w:shd w:val="clear" w:color="auto" w:fill="auto"/>
            <w:noWrap/>
            <w:vAlign w:val="center"/>
          </w:tcPr>
          <w:p w14:paraId="482207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120.39359</w:t>
            </w:r>
          </w:p>
        </w:tc>
        <w:tc>
          <w:tcPr>
            <w:tcW w:w="505" w:type="pct"/>
            <w:vMerge w:val="restart"/>
            <w:shd w:val="clear" w:color="auto" w:fill="auto"/>
            <w:noWrap/>
            <w:vAlign w:val="center"/>
          </w:tcPr>
          <w:p w14:paraId="1EB27D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33.16067884</w:t>
            </w:r>
          </w:p>
        </w:tc>
        <w:tc>
          <w:tcPr>
            <w:tcW w:w="288" w:type="pct"/>
            <w:shd w:val="clear" w:color="auto" w:fill="auto"/>
            <w:noWrap/>
            <w:vAlign w:val="center"/>
          </w:tcPr>
          <w:p w14:paraId="341B28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w:t>
            </w:r>
          </w:p>
        </w:tc>
        <w:tc>
          <w:tcPr>
            <w:tcW w:w="408" w:type="pct"/>
            <w:shd w:val="clear" w:color="auto" w:fill="auto"/>
            <w:noWrap/>
            <w:vAlign w:val="center"/>
          </w:tcPr>
          <w:p w14:paraId="157E56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00C17DA9">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48F52E69">
            <w:pPr>
              <w:jc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6C344B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720CBE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35972A78">
            <w:pPr>
              <w:jc w:val="center"/>
              <w:rPr>
                <w:rFonts w:hint="eastAsia" w:ascii="宋体" w:hAnsi="宋体" w:eastAsia="宋体" w:cs="宋体"/>
                <w:i w:val="0"/>
                <w:iCs w:val="0"/>
                <w:color w:val="000000"/>
                <w:sz w:val="22"/>
                <w:szCs w:val="22"/>
                <w:u w:val="none"/>
              </w:rPr>
            </w:pPr>
          </w:p>
        </w:tc>
      </w:tr>
      <w:tr w14:paraId="6B04C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4B8D6BB6">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0BED2CD2">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14BF41DA">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66C957D5">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49EF3E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w:t>
            </w:r>
          </w:p>
        </w:tc>
        <w:tc>
          <w:tcPr>
            <w:tcW w:w="408" w:type="pct"/>
            <w:shd w:val="clear" w:color="auto" w:fill="auto"/>
            <w:noWrap/>
            <w:vAlign w:val="center"/>
          </w:tcPr>
          <w:p w14:paraId="1C4F65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4130EB89">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44DE5B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48EE9A26">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007317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65D95D18">
            <w:pPr>
              <w:jc w:val="center"/>
              <w:rPr>
                <w:rFonts w:hint="eastAsia" w:ascii="宋体" w:hAnsi="宋体" w:eastAsia="宋体" w:cs="宋体"/>
                <w:i w:val="0"/>
                <w:iCs w:val="0"/>
                <w:color w:val="000000"/>
                <w:sz w:val="22"/>
                <w:szCs w:val="22"/>
                <w:u w:val="none"/>
              </w:rPr>
            </w:pPr>
          </w:p>
        </w:tc>
      </w:tr>
      <w:tr w14:paraId="282E9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1F8E5FB0">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0F61DE03">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72EF54FF">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5A6B3BF0">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102892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w:t>
            </w:r>
          </w:p>
        </w:tc>
        <w:tc>
          <w:tcPr>
            <w:tcW w:w="408" w:type="pct"/>
            <w:shd w:val="clear" w:color="auto" w:fill="auto"/>
            <w:noWrap/>
            <w:vAlign w:val="center"/>
          </w:tcPr>
          <w:p w14:paraId="0C753D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62924061">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129ACA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4954DACE">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7F09F54C">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139BA11F">
            <w:pPr>
              <w:jc w:val="center"/>
              <w:rPr>
                <w:rFonts w:hint="eastAsia" w:ascii="宋体" w:hAnsi="宋体" w:eastAsia="宋体" w:cs="宋体"/>
                <w:i w:val="0"/>
                <w:iCs w:val="0"/>
                <w:color w:val="000000"/>
                <w:sz w:val="22"/>
                <w:szCs w:val="22"/>
                <w:u w:val="none"/>
              </w:rPr>
            </w:pPr>
          </w:p>
        </w:tc>
      </w:tr>
      <w:tr w14:paraId="53A9E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5E10925C">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36D255FA">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0562E48D">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63E8EFA3">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15D975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w:t>
            </w:r>
          </w:p>
        </w:tc>
        <w:tc>
          <w:tcPr>
            <w:tcW w:w="408" w:type="pct"/>
            <w:shd w:val="clear" w:color="auto" w:fill="auto"/>
            <w:noWrap/>
            <w:vAlign w:val="center"/>
          </w:tcPr>
          <w:p w14:paraId="1BDC6F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16A3F85F">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31F465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054F03AC">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2A8A1437">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209EFD77">
            <w:pPr>
              <w:jc w:val="center"/>
              <w:rPr>
                <w:rFonts w:hint="eastAsia" w:ascii="宋体" w:hAnsi="宋体" w:eastAsia="宋体" w:cs="宋体"/>
                <w:i w:val="0"/>
                <w:iCs w:val="0"/>
                <w:color w:val="000000"/>
                <w:sz w:val="22"/>
                <w:szCs w:val="22"/>
                <w:u w:val="none"/>
              </w:rPr>
            </w:pPr>
          </w:p>
        </w:tc>
      </w:tr>
      <w:tr w14:paraId="35951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restart"/>
            <w:shd w:val="clear" w:color="auto" w:fill="auto"/>
            <w:noWrap/>
            <w:vAlign w:val="center"/>
          </w:tcPr>
          <w:p w14:paraId="0B1E7D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38" w:type="pct"/>
            <w:vMerge w:val="restart"/>
            <w:shd w:val="clear" w:color="auto" w:fill="auto"/>
            <w:noWrap/>
            <w:vAlign w:val="center"/>
          </w:tcPr>
          <w:p w14:paraId="47E587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常州路与南环路</w:t>
            </w:r>
          </w:p>
        </w:tc>
        <w:tc>
          <w:tcPr>
            <w:tcW w:w="505" w:type="pct"/>
            <w:vMerge w:val="restart"/>
            <w:shd w:val="clear" w:color="auto" w:fill="auto"/>
            <w:noWrap/>
            <w:vAlign w:val="center"/>
          </w:tcPr>
          <w:p w14:paraId="5BC7A7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120.3887512</w:t>
            </w:r>
          </w:p>
        </w:tc>
        <w:tc>
          <w:tcPr>
            <w:tcW w:w="505" w:type="pct"/>
            <w:vMerge w:val="restart"/>
            <w:shd w:val="clear" w:color="auto" w:fill="auto"/>
            <w:noWrap/>
            <w:vAlign w:val="center"/>
          </w:tcPr>
          <w:p w14:paraId="4D49A1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33.17006268</w:t>
            </w:r>
          </w:p>
        </w:tc>
        <w:tc>
          <w:tcPr>
            <w:tcW w:w="288" w:type="pct"/>
            <w:shd w:val="clear" w:color="auto" w:fill="auto"/>
            <w:noWrap/>
            <w:vAlign w:val="center"/>
          </w:tcPr>
          <w:p w14:paraId="7DB729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w:t>
            </w:r>
          </w:p>
        </w:tc>
        <w:tc>
          <w:tcPr>
            <w:tcW w:w="408" w:type="pct"/>
            <w:shd w:val="clear" w:color="auto" w:fill="auto"/>
            <w:noWrap/>
            <w:vAlign w:val="center"/>
          </w:tcPr>
          <w:p w14:paraId="5147D0DA">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0562A8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6939C9B3">
            <w:pPr>
              <w:jc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490AAE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37287D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264E2ECA">
            <w:pPr>
              <w:jc w:val="center"/>
              <w:rPr>
                <w:rFonts w:hint="eastAsia" w:ascii="宋体" w:hAnsi="宋体" w:eastAsia="宋体" w:cs="宋体"/>
                <w:i w:val="0"/>
                <w:iCs w:val="0"/>
                <w:color w:val="000000"/>
                <w:sz w:val="22"/>
                <w:szCs w:val="22"/>
                <w:u w:val="none"/>
              </w:rPr>
            </w:pPr>
          </w:p>
        </w:tc>
      </w:tr>
      <w:tr w14:paraId="58D33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1283AABE">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35AFFC60">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57579D90">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4D22F913">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5286F6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w:t>
            </w:r>
          </w:p>
        </w:tc>
        <w:tc>
          <w:tcPr>
            <w:tcW w:w="408" w:type="pct"/>
            <w:shd w:val="clear" w:color="auto" w:fill="auto"/>
            <w:noWrap/>
            <w:vAlign w:val="center"/>
          </w:tcPr>
          <w:p w14:paraId="3F071F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0D456D78">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2B3E49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4411D2C6">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46DE9E06">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5241F729">
            <w:pPr>
              <w:jc w:val="center"/>
              <w:rPr>
                <w:rFonts w:hint="eastAsia" w:ascii="宋体" w:hAnsi="宋体" w:eastAsia="宋体" w:cs="宋体"/>
                <w:i w:val="0"/>
                <w:iCs w:val="0"/>
                <w:color w:val="000000"/>
                <w:sz w:val="22"/>
                <w:szCs w:val="22"/>
                <w:u w:val="none"/>
              </w:rPr>
            </w:pPr>
          </w:p>
        </w:tc>
      </w:tr>
      <w:tr w14:paraId="66BF7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22304E17">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2786BE22">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0851434C">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4EE361A8">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405C07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w:t>
            </w:r>
          </w:p>
        </w:tc>
        <w:tc>
          <w:tcPr>
            <w:tcW w:w="408" w:type="pct"/>
            <w:shd w:val="clear" w:color="auto" w:fill="auto"/>
            <w:noWrap/>
            <w:vAlign w:val="center"/>
          </w:tcPr>
          <w:p w14:paraId="6A3B2EF4">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1E9E98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407259E5">
            <w:pPr>
              <w:jc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0FB3E8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6404286B">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4A0BB6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换12MM镜头</w:t>
            </w:r>
          </w:p>
        </w:tc>
      </w:tr>
      <w:tr w14:paraId="1FB6A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79752019">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4393162B">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75E04AE8">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6E659871">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5F1602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w:t>
            </w:r>
          </w:p>
        </w:tc>
        <w:tc>
          <w:tcPr>
            <w:tcW w:w="408" w:type="pct"/>
            <w:shd w:val="clear" w:color="auto" w:fill="auto"/>
            <w:noWrap/>
            <w:vAlign w:val="center"/>
          </w:tcPr>
          <w:p w14:paraId="09FB71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0A48DF86">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25F6BE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02213D6B">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53DBF26A">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50913E5D">
            <w:pPr>
              <w:jc w:val="center"/>
              <w:rPr>
                <w:rFonts w:hint="eastAsia" w:ascii="宋体" w:hAnsi="宋体" w:eastAsia="宋体" w:cs="宋体"/>
                <w:i w:val="0"/>
                <w:iCs w:val="0"/>
                <w:color w:val="000000"/>
                <w:sz w:val="22"/>
                <w:szCs w:val="22"/>
                <w:u w:val="none"/>
              </w:rPr>
            </w:pPr>
          </w:p>
        </w:tc>
      </w:tr>
      <w:tr w14:paraId="6F666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restart"/>
            <w:shd w:val="clear" w:color="auto" w:fill="auto"/>
            <w:noWrap/>
            <w:vAlign w:val="center"/>
          </w:tcPr>
          <w:p w14:paraId="29E3B6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738" w:type="pct"/>
            <w:vMerge w:val="restart"/>
            <w:shd w:val="clear" w:color="auto" w:fill="auto"/>
            <w:noWrap/>
            <w:vAlign w:val="center"/>
          </w:tcPr>
          <w:p w14:paraId="0F28EC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海丰路与江都路</w:t>
            </w:r>
          </w:p>
        </w:tc>
        <w:tc>
          <w:tcPr>
            <w:tcW w:w="505" w:type="pct"/>
            <w:vMerge w:val="restart"/>
            <w:shd w:val="clear" w:color="auto" w:fill="auto"/>
            <w:noWrap/>
            <w:vAlign w:val="center"/>
          </w:tcPr>
          <w:p w14:paraId="6780FD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120.6009026</w:t>
            </w:r>
          </w:p>
        </w:tc>
        <w:tc>
          <w:tcPr>
            <w:tcW w:w="505" w:type="pct"/>
            <w:vMerge w:val="restart"/>
            <w:shd w:val="clear" w:color="auto" w:fill="auto"/>
            <w:noWrap/>
            <w:vAlign w:val="center"/>
          </w:tcPr>
          <w:p w14:paraId="2A7299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33.21999101</w:t>
            </w:r>
          </w:p>
        </w:tc>
        <w:tc>
          <w:tcPr>
            <w:tcW w:w="288" w:type="pct"/>
            <w:shd w:val="clear" w:color="auto" w:fill="auto"/>
            <w:noWrap/>
            <w:vAlign w:val="center"/>
          </w:tcPr>
          <w:p w14:paraId="6FDA29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w:t>
            </w:r>
          </w:p>
        </w:tc>
        <w:tc>
          <w:tcPr>
            <w:tcW w:w="408" w:type="pct"/>
            <w:shd w:val="clear" w:color="auto" w:fill="auto"/>
            <w:noWrap/>
            <w:vAlign w:val="center"/>
          </w:tcPr>
          <w:p w14:paraId="1CAB2C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6C3728E6">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225CB8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6E0FC6EF">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75E068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1ABC58CC">
            <w:pPr>
              <w:jc w:val="center"/>
              <w:rPr>
                <w:rFonts w:hint="eastAsia" w:ascii="宋体" w:hAnsi="宋体" w:eastAsia="宋体" w:cs="宋体"/>
                <w:i w:val="0"/>
                <w:iCs w:val="0"/>
                <w:color w:val="000000"/>
                <w:sz w:val="22"/>
                <w:szCs w:val="22"/>
                <w:u w:val="none"/>
              </w:rPr>
            </w:pPr>
          </w:p>
        </w:tc>
      </w:tr>
      <w:tr w14:paraId="09E03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42E26544">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09B42D38">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57036B73">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586F63DD">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686610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w:t>
            </w:r>
          </w:p>
        </w:tc>
        <w:tc>
          <w:tcPr>
            <w:tcW w:w="408" w:type="pct"/>
            <w:shd w:val="clear" w:color="auto" w:fill="auto"/>
            <w:noWrap/>
            <w:vAlign w:val="center"/>
          </w:tcPr>
          <w:p w14:paraId="5B648A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19E60282">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056BE1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261CD4F4">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23F07C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30813188">
            <w:pPr>
              <w:jc w:val="center"/>
              <w:rPr>
                <w:rFonts w:hint="eastAsia" w:ascii="宋体" w:hAnsi="宋体" w:eastAsia="宋体" w:cs="宋体"/>
                <w:i w:val="0"/>
                <w:iCs w:val="0"/>
                <w:color w:val="000000"/>
                <w:sz w:val="22"/>
                <w:szCs w:val="22"/>
                <w:u w:val="none"/>
              </w:rPr>
            </w:pPr>
          </w:p>
        </w:tc>
      </w:tr>
      <w:tr w14:paraId="35885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0CBDED9C">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5D56CE7D">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15A76EE6">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17F89C76">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275F92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w:t>
            </w:r>
          </w:p>
        </w:tc>
        <w:tc>
          <w:tcPr>
            <w:tcW w:w="408" w:type="pct"/>
            <w:shd w:val="clear" w:color="auto" w:fill="auto"/>
            <w:noWrap/>
            <w:vAlign w:val="center"/>
          </w:tcPr>
          <w:p w14:paraId="7D8B72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05660BB7">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66C734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228641F4">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4904BE27">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57AE15FF">
            <w:pPr>
              <w:jc w:val="center"/>
              <w:rPr>
                <w:rFonts w:hint="eastAsia" w:ascii="宋体" w:hAnsi="宋体" w:eastAsia="宋体" w:cs="宋体"/>
                <w:i w:val="0"/>
                <w:iCs w:val="0"/>
                <w:color w:val="000000"/>
                <w:sz w:val="22"/>
                <w:szCs w:val="22"/>
                <w:u w:val="none"/>
              </w:rPr>
            </w:pPr>
          </w:p>
        </w:tc>
      </w:tr>
      <w:tr w14:paraId="7B183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393891B4">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78E8BC04">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638BB819">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64A5A78B">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57D934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w:t>
            </w:r>
          </w:p>
        </w:tc>
        <w:tc>
          <w:tcPr>
            <w:tcW w:w="408" w:type="pct"/>
            <w:shd w:val="clear" w:color="auto" w:fill="auto"/>
            <w:noWrap/>
            <w:vAlign w:val="center"/>
          </w:tcPr>
          <w:p w14:paraId="41222C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40EE8510">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2F65B3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36E49085">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11660BF1">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40622ED1">
            <w:pPr>
              <w:jc w:val="center"/>
              <w:rPr>
                <w:rFonts w:hint="eastAsia" w:ascii="宋体" w:hAnsi="宋体" w:eastAsia="宋体" w:cs="宋体"/>
                <w:i w:val="0"/>
                <w:iCs w:val="0"/>
                <w:color w:val="000000"/>
                <w:sz w:val="22"/>
                <w:szCs w:val="22"/>
                <w:u w:val="none"/>
              </w:rPr>
            </w:pPr>
          </w:p>
        </w:tc>
      </w:tr>
      <w:tr w14:paraId="0526E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restart"/>
            <w:shd w:val="clear" w:color="auto" w:fill="auto"/>
            <w:noWrap/>
            <w:vAlign w:val="center"/>
          </w:tcPr>
          <w:p w14:paraId="0F667F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738" w:type="pct"/>
            <w:vMerge w:val="restart"/>
            <w:shd w:val="clear" w:color="auto" w:fill="auto"/>
            <w:noWrap/>
            <w:vAlign w:val="center"/>
          </w:tcPr>
          <w:p w14:paraId="6C2C60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凤阳路与海丰路</w:t>
            </w:r>
          </w:p>
        </w:tc>
        <w:tc>
          <w:tcPr>
            <w:tcW w:w="505" w:type="pct"/>
            <w:vMerge w:val="restart"/>
            <w:shd w:val="clear" w:color="auto" w:fill="auto"/>
            <w:noWrap/>
            <w:vAlign w:val="center"/>
          </w:tcPr>
          <w:p w14:paraId="3B7437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120.6011275</w:t>
            </w:r>
          </w:p>
        </w:tc>
        <w:tc>
          <w:tcPr>
            <w:tcW w:w="505" w:type="pct"/>
            <w:vMerge w:val="restart"/>
            <w:shd w:val="clear" w:color="auto" w:fill="auto"/>
            <w:noWrap/>
            <w:vAlign w:val="center"/>
          </w:tcPr>
          <w:p w14:paraId="750BB1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33.21652413</w:t>
            </w:r>
          </w:p>
        </w:tc>
        <w:tc>
          <w:tcPr>
            <w:tcW w:w="288" w:type="pct"/>
            <w:shd w:val="clear" w:color="auto" w:fill="auto"/>
            <w:noWrap/>
            <w:vAlign w:val="center"/>
          </w:tcPr>
          <w:p w14:paraId="54D0A1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w:t>
            </w:r>
          </w:p>
        </w:tc>
        <w:tc>
          <w:tcPr>
            <w:tcW w:w="408" w:type="pct"/>
            <w:shd w:val="clear" w:color="auto" w:fill="auto"/>
            <w:noWrap/>
            <w:vAlign w:val="center"/>
          </w:tcPr>
          <w:p w14:paraId="577CA836">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6BFFC7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462B5BC6">
            <w:pPr>
              <w:jc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4D3368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083590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1614D9E8">
            <w:pPr>
              <w:jc w:val="center"/>
              <w:rPr>
                <w:rFonts w:hint="eastAsia" w:ascii="宋体" w:hAnsi="宋体" w:eastAsia="宋体" w:cs="宋体"/>
                <w:i w:val="0"/>
                <w:iCs w:val="0"/>
                <w:color w:val="000000"/>
                <w:sz w:val="22"/>
                <w:szCs w:val="22"/>
                <w:u w:val="none"/>
              </w:rPr>
            </w:pPr>
          </w:p>
        </w:tc>
      </w:tr>
      <w:tr w14:paraId="03565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75BB2380">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2063C09E">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04E446CE">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77FA4BD4">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78A687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w:t>
            </w:r>
          </w:p>
        </w:tc>
        <w:tc>
          <w:tcPr>
            <w:tcW w:w="408" w:type="pct"/>
            <w:shd w:val="clear" w:color="auto" w:fill="auto"/>
            <w:noWrap/>
            <w:vAlign w:val="center"/>
          </w:tcPr>
          <w:p w14:paraId="12E9DA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44C260FA">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2B2CD1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03BD03B6">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278CAE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5FC93F75">
            <w:pPr>
              <w:jc w:val="center"/>
              <w:rPr>
                <w:rFonts w:hint="eastAsia" w:ascii="宋体" w:hAnsi="宋体" w:eastAsia="宋体" w:cs="宋体"/>
                <w:i w:val="0"/>
                <w:iCs w:val="0"/>
                <w:color w:val="000000"/>
                <w:sz w:val="22"/>
                <w:szCs w:val="22"/>
                <w:u w:val="none"/>
              </w:rPr>
            </w:pPr>
          </w:p>
        </w:tc>
      </w:tr>
      <w:tr w14:paraId="1A6E3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294E80B6">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1EEA3CFF">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1F14AEE3">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7CBC1CEB">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268759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w:t>
            </w:r>
          </w:p>
        </w:tc>
        <w:tc>
          <w:tcPr>
            <w:tcW w:w="408" w:type="pct"/>
            <w:shd w:val="clear" w:color="auto" w:fill="auto"/>
            <w:noWrap/>
            <w:vAlign w:val="center"/>
          </w:tcPr>
          <w:p w14:paraId="1D9CCB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54149469">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639C50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5AE2C8AF">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46B20BBF">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7BEFF6EB">
            <w:pPr>
              <w:jc w:val="center"/>
              <w:rPr>
                <w:rFonts w:hint="eastAsia" w:ascii="宋体" w:hAnsi="宋体" w:eastAsia="宋体" w:cs="宋体"/>
                <w:i w:val="0"/>
                <w:iCs w:val="0"/>
                <w:color w:val="000000"/>
                <w:sz w:val="22"/>
                <w:szCs w:val="22"/>
                <w:u w:val="none"/>
              </w:rPr>
            </w:pPr>
          </w:p>
        </w:tc>
      </w:tr>
      <w:tr w14:paraId="7FFCE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5139C3D5">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0C0D3E29">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32E0D7E0">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610CE4A8">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0105CE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w:t>
            </w:r>
          </w:p>
        </w:tc>
        <w:tc>
          <w:tcPr>
            <w:tcW w:w="408" w:type="pct"/>
            <w:shd w:val="clear" w:color="auto" w:fill="auto"/>
            <w:noWrap/>
            <w:vAlign w:val="center"/>
          </w:tcPr>
          <w:p w14:paraId="7003EE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0E986A76">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501E4D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28F39547">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105DBEE6">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370620EB">
            <w:pPr>
              <w:jc w:val="center"/>
              <w:rPr>
                <w:rFonts w:hint="eastAsia" w:ascii="宋体" w:hAnsi="宋体" w:eastAsia="宋体" w:cs="宋体"/>
                <w:i w:val="0"/>
                <w:iCs w:val="0"/>
                <w:color w:val="000000"/>
                <w:sz w:val="22"/>
                <w:szCs w:val="22"/>
                <w:u w:val="none"/>
              </w:rPr>
            </w:pPr>
          </w:p>
        </w:tc>
      </w:tr>
      <w:tr w14:paraId="7C9E9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restart"/>
            <w:shd w:val="clear" w:color="auto" w:fill="auto"/>
            <w:noWrap/>
            <w:vAlign w:val="center"/>
          </w:tcPr>
          <w:p w14:paraId="07B276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738" w:type="pct"/>
            <w:vMerge w:val="restart"/>
            <w:shd w:val="clear" w:color="auto" w:fill="auto"/>
            <w:noWrap/>
            <w:vAlign w:val="center"/>
          </w:tcPr>
          <w:p w14:paraId="08AA2C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通汇路与海丰路</w:t>
            </w:r>
          </w:p>
        </w:tc>
        <w:tc>
          <w:tcPr>
            <w:tcW w:w="505" w:type="pct"/>
            <w:vMerge w:val="restart"/>
            <w:shd w:val="clear" w:color="auto" w:fill="auto"/>
            <w:noWrap/>
            <w:vAlign w:val="center"/>
          </w:tcPr>
          <w:p w14:paraId="2883BE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120.6018993</w:t>
            </w:r>
          </w:p>
        </w:tc>
        <w:tc>
          <w:tcPr>
            <w:tcW w:w="505" w:type="pct"/>
            <w:vMerge w:val="restart"/>
            <w:shd w:val="clear" w:color="auto" w:fill="auto"/>
            <w:noWrap/>
            <w:vAlign w:val="center"/>
          </w:tcPr>
          <w:p w14:paraId="14082B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33.21153913</w:t>
            </w:r>
          </w:p>
        </w:tc>
        <w:tc>
          <w:tcPr>
            <w:tcW w:w="288" w:type="pct"/>
            <w:shd w:val="clear" w:color="auto" w:fill="auto"/>
            <w:noWrap/>
            <w:vAlign w:val="center"/>
          </w:tcPr>
          <w:p w14:paraId="359942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w:t>
            </w:r>
          </w:p>
        </w:tc>
        <w:tc>
          <w:tcPr>
            <w:tcW w:w="408" w:type="pct"/>
            <w:shd w:val="clear" w:color="auto" w:fill="auto"/>
            <w:noWrap/>
            <w:vAlign w:val="center"/>
          </w:tcPr>
          <w:p w14:paraId="7D331AAC">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2E3A362E">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7175697B">
            <w:pPr>
              <w:jc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01CA2336">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184714D5">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56B78535">
            <w:pPr>
              <w:jc w:val="center"/>
              <w:rPr>
                <w:rFonts w:hint="eastAsia" w:ascii="宋体" w:hAnsi="宋体" w:eastAsia="宋体" w:cs="宋体"/>
                <w:i w:val="0"/>
                <w:iCs w:val="0"/>
                <w:color w:val="000000"/>
                <w:sz w:val="22"/>
                <w:szCs w:val="22"/>
                <w:u w:val="none"/>
              </w:rPr>
            </w:pPr>
          </w:p>
        </w:tc>
      </w:tr>
      <w:tr w14:paraId="6A3F7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2122D6D2">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3DA66A2E">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55733A06">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44ADDA20">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1CB269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w:t>
            </w:r>
          </w:p>
        </w:tc>
        <w:tc>
          <w:tcPr>
            <w:tcW w:w="408" w:type="pct"/>
            <w:shd w:val="clear" w:color="auto" w:fill="auto"/>
            <w:noWrap/>
            <w:vAlign w:val="center"/>
          </w:tcPr>
          <w:p w14:paraId="03F9A6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72239F83">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2EA037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07C762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6D00D2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4D2E2F01">
            <w:pPr>
              <w:jc w:val="center"/>
              <w:rPr>
                <w:rFonts w:hint="eastAsia" w:ascii="宋体" w:hAnsi="宋体" w:eastAsia="宋体" w:cs="宋体"/>
                <w:i w:val="0"/>
                <w:iCs w:val="0"/>
                <w:color w:val="000000"/>
                <w:sz w:val="22"/>
                <w:szCs w:val="22"/>
                <w:u w:val="none"/>
              </w:rPr>
            </w:pPr>
          </w:p>
        </w:tc>
      </w:tr>
      <w:tr w14:paraId="1CF57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255D4B11">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0705F1C5">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5AFA564F">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67F74F6C">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18390E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w:t>
            </w:r>
          </w:p>
        </w:tc>
        <w:tc>
          <w:tcPr>
            <w:tcW w:w="408" w:type="pct"/>
            <w:shd w:val="clear" w:color="auto" w:fill="auto"/>
            <w:noWrap/>
            <w:vAlign w:val="center"/>
          </w:tcPr>
          <w:p w14:paraId="07E53F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640A59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4BD10D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1220E2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3D4AF91F">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129FD198">
            <w:pPr>
              <w:jc w:val="center"/>
              <w:rPr>
                <w:rFonts w:hint="eastAsia" w:ascii="宋体" w:hAnsi="宋体" w:eastAsia="宋体" w:cs="宋体"/>
                <w:i w:val="0"/>
                <w:iCs w:val="0"/>
                <w:color w:val="000000"/>
                <w:sz w:val="22"/>
                <w:szCs w:val="22"/>
                <w:u w:val="none"/>
              </w:rPr>
            </w:pPr>
          </w:p>
        </w:tc>
      </w:tr>
      <w:tr w14:paraId="36DB1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4B23E3F3">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49F4F7BC">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6ED45578">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686AA1AC">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4951A8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w:t>
            </w:r>
          </w:p>
        </w:tc>
        <w:tc>
          <w:tcPr>
            <w:tcW w:w="408" w:type="pct"/>
            <w:shd w:val="clear" w:color="auto" w:fill="auto"/>
            <w:noWrap/>
            <w:vAlign w:val="center"/>
          </w:tcPr>
          <w:p w14:paraId="786D88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2597A952">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4EFAB9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4DE6D914">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513FC7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048A3619">
            <w:pPr>
              <w:jc w:val="center"/>
              <w:rPr>
                <w:rFonts w:hint="eastAsia" w:ascii="宋体" w:hAnsi="宋体" w:eastAsia="宋体" w:cs="宋体"/>
                <w:i w:val="0"/>
                <w:iCs w:val="0"/>
                <w:color w:val="000000"/>
                <w:sz w:val="22"/>
                <w:szCs w:val="22"/>
                <w:u w:val="none"/>
              </w:rPr>
            </w:pPr>
          </w:p>
        </w:tc>
      </w:tr>
      <w:tr w14:paraId="1C71C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restart"/>
            <w:shd w:val="clear" w:color="auto" w:fill="auto"/>
            <w:noWrap/>
            <w:vAlign w:val="center"/>
          </w:tcPr>
          <w:p w14:paraId="56471D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738" w:type="pct"/>
            <w:vMerge w:val="restart"/>
            <w:shd w:val="clear" w:color="auto" w:fill="auto"/>
            <w:noWrap/>
            <w:vAlign w:val="center"/>
          </w:tcPr>
          <w:p w14:paraId="2939CA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明珠路与汇通路</w:t>
            </w:r>
          </w:p>
        </w:tc>
        <w:tc>
          <w:tcPr>
            <w:tcW w:w="505" w:type="pct"/>
            <w:vMerge w:val="restart"/>
            <w:shd w:val="clear" w:color="auto" w:fill="auto"/>
            <w:noWrap/>
            <w:vAlign w:val="center"/>
          </w:tcPr>
          <w:p w14:paraId="3418FD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120.5957543</w:t>
            </w:r>
          </w:p>
        </w:tc>
        <w:tc>
          <w:tcPr>
            <w:tcW w:w="505" w:type="pct"/>
            <w:vMerge w:val="restart"/>
            <w:shd w:val="clear" w:color="auto" w:fill="auto"/>
            <w:noWrap/>
            <w:vAlign w:val="center"/>
          </w:tcPr>
          <w:p w14:paraId="435221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33.21119864</w:t>
            </w:r>
          </w:p>
        </w:tc>
        <w:tc>
          <w:tcPr>
            <w:tcW w:w="288" w:type="pct"/>
            <w:shd w:val="clear" w:color="auto" w:fill="auto"/>
            <w:noWrap/>
            <w:vAlign w:val="center"/>
          </w:tcPr>
          <w:p w14:paraId="69FC4E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w:t>
            </w:r>
          </w:p>
        </w:tc>
        <w:tc>
          <w:tcPr>
            <w:tcW w:w="408" w:type="pct"/>
            <w:shd w:val="clear" w:color="auto" w:fill="auto"/>
            <w:noWrap/>
            <w:vAlign w:val="center"/>
          </w:tcPr>
          <w:p w14:paraId="6ADF19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7267AF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2CC0EB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3D90F1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57ABB5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2A2EABC5">
            <w:pPr>
              <w:jc w:val="center"/>
              <w:rPr>
                <w:rFonts w:hint="eastAsia" w:ascii="宋体" w:hAnsi="宋体" w:eastAsia="宋体" w:cs="宋体"/>
                <w:i w:val="0"/>
                <w:iCs w:val="0"/>
                <w:color w:val="000000"/>
                <w:sz w:val="22"/>
                <w:szCs w:val="22"/>
                <w:u w:val="none"/>
              </w:rPr>
            </w:pPr>
          </w:p>
        </w:tc>
      </w:tr>
      <w:tr w14:paraId="5CD98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6C360A7D">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3F3E0410">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70F291F8">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414523E8">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5BC3A2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w:t>
            </w:r>
          </w:p>
        </w:tc>
        <w:tc>
          <w:tcPr>
            <w:tcW w:w="408" w:type="pct"/>
            <w:shd w:val="clear" w:color="auto" w:fill="auto"/>
            <w:noWrap/>
            <w:vAlign w:val="center"/>
          </w:tcPr>
          <w:p w14:paraId="2F532C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13AAE091">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7DFA84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093740F4">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13202C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25F7FFEA">
            <w:pPr>
              <w:jc w:val="center"/>
              <w:rPr>
                <w:rFonts w:hint="eastAsia" w:ascii="宋体" w:hAnsi="宋体" w:eastAsia="宋体" w:cs="宋体"/>
                <w:i w:val="0"/>
                <w:iCs w:val="0"/>
                <w:color w:val="000000"/>
                <w:sz w:val="22"/>
                <w:szCs w:val="22"/>
                <w:u w:val="none"/>
              </w:rPr>
            </w:pPr>
          </w:p>
        </w:tc>
      </w:tr>
      <w:tr w14:paraId="29591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0B34370C">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345990C7">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2E0FC067">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5B62E06C">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6CDBFF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w:t>
            </w:r>
          </w:p>
        </w:tc>
        <w:tc>
          <w:tcPr>
            <w:tcW w:w="408" w:type="pct"/>
            <w:shd w:val="clear" w:color="auto" w:fill="auto"/>
            <w:noWrap/>
            <w:vAlign w:val="center"/>
          </w:tcPr>
          <w:p w14:paraId="6057A8CD">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07AC85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557B66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323BE2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16CA24A5">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1E828415">
            <w:pPr>
              <w:jc w:val="center"/>
              <w:rPr>
                <w:rFonts w:hint="eastAsia" w:ascii="宋体" w:hAnsi="宋体" w:eastAsia="宋体" w:cs="宋体"/>
                <w:i w:val="0"/>
                <w:iCs w:val="0"/>
                <w:color w:val="000000"/>
                <w:sz w:val="22"/>
                <w:szCs w:val="22"/>
                <w:u w:val="none"/>
              </w:rPr>
            </w:pPr>
          </w:p>
        </w:tc>
      </w:tr>
      <w:tr w14:paraId="0C9AA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71087712">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7EA66FAD">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3CF02B54">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0EB28271">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4B323F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w:t>
            </w:r>
          </w:p>
        </w:tc>
        <w:tc>
          <w:tcPr>
            <w:tcW w:w="408" w:type="pct"/>
            <w:shd w:val="clear" w:color="auto" w:fill="auto"/>
            <w:noWrap/>
            <w:vAlign w:val="center"/>
          </w:tcPr>
          <w:p w14:paraId="40AC0B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249471F1">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591E1A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09EDA1A2">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4B92DE07">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48285A3F">
            <w:pPr>
              <w:jc w:val="center"/>
              <w:rPr>
                <w:rFonts w:hint="eastAsia" w:ascii="宋体" w:hAnsi="宋体" w:eastAsia="宋体" w:cs="宋体"/>
                <w:i w:val="0"/>
                <w:iCs w:val="0"/>
                <w:color w:val="000000"/>
                <w:sz w:val="22"/>
                <w:szCs w:val="22"/>
                <w:u w:val="none"/>
              </w:rPr>
            </w:pPr>
          </w:p>
        </w:tc>
      </w:tr>
      <w:tr w14:paraId="6BF76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restart"/>
            <w:shd w:val="clear" w:color="auto" w:fill="auto"/>
            <w:noWrap/>
            <w:vAlign w:val="center"/>
          </w:tcPr>
          <w:p w14:paraId="1D67FF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38" w:type="pct"/>
            <w:vMerge w:val="restart"/>
            <w:shd w:val="clear" w:color="auto" w:fill="auto"/>
            <w:noWrap/>
            <w:vAlign w:val="center"/>
          </w:tcPr>
          <w:p w14:paraId="5E0B51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崇文路与常熟路</w:t>
            </w:r>
          </w:p>
        </w:tc>
        <w:tc>
          <w:tcPr>
            <w:tcW w:w="505" w:type="pct"/>
            <w:vMerge w:val="restart"/>
            <w:shd w:val="clear" w:color="auto" w:fill="auto"/>
            <w:noWrap/>
            <w:vAlign w:val="center"/>
          </w:tcPr>
          <w:p w14:paraId="23FF38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120.7038991</w:t>
            </w:r>
          </w:p>
        </w:tc>
        <w:tc>
          <w:tcPr>
            <w:tcW w:w="505" w:type="pct"/>
            <w:vMerge w:val="restart"/>
            <w:shd w:val="clear" w:color="auto" w:fill="auto"/>
            <w:noWrap/>
            <w:vAlign w:val="center"/>
          </w:tcPr>
          <w:p w14:paraId="080848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33.22104925</w:t>
            </w:r>
          </w:p>
        </w:tc>
        <w:tc>
          <w:tcPr>
            <w:tcW w:w="288" w:type="pct"/>
            <w:shd w:val="clear" w:color="auto" w:fill="auto"/>
            <w:noWrap/>
            <w:vAlign w:val="center"/>
          </w:tcPr>
          <w:p w14:paraId="67E26E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w:t>
            </w:r>
          </w:p>
        </w:tc>
        <w:tc>
          <w:tcPr>
            <w:tcW w:w="408" w:type="pct"/>
            <w:shd w:val="clear" w:color="auto" w:fill="auto"/>
            <w:noWrap/>
            <w:vAlign w:val="center"/>
          </w:tcPr>
          <w:p w14:paraId="48DB1CD0">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6C270B8C">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26EA579E">
            <w:pPr>
              <w:jc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3CC4F89B">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177EA6E1">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60D7AE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三个方向杆件移位至电警位置</w:t>
            </w:r>
          </w:p>
        </w:tc>
      </w:tr>
      <w:tr w14:paraId="4497A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6A361FB1">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112E63D2">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78D82702">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5CD18AF3">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28FBE2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w:t>
            </w:r>
          </w:p>
        </w:tc>
        <w:tc>
          <w:tcPr>
            <w:tcW w:w="408" w:type="pct"/>
            <w:shd w:val="clear" w:color="auto" w:fill="auto"/>
            <w:noWrap/>
            <w:vAlign w:val="center"/>
          </w:tcPr>
          <w:p w14:paraId="2C07C0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3B95BD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1FA366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7BAD66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72121F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3F34C514">
            <w:pPr>
              <w:jc w:val="center"/>
              <w:rPr>
                <w:rFonts w:hint="eastAsia" w:ascii="宋体" w:hAnsi="宋体" w:eastAsia="宋体" w:cs="宋体"/>
                <w:i w:val="0"/>
                <w:iCs w:val="0"/>
                <w:color w:val="000000"/>
                <w:sz w:val="22"/>
                <w:szCs w:val="22"/>
                <w:u w:val="none"/>
              </w:rPr>
            </w:pPr>
          </w:p>
        </w:tc>
      </w:tr>
      <w:tr w14:paraId="1919A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6FB797E2">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700E9114">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7505A5D3">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7915C5F1">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542864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w:t>
            </w:r>
          </w:p>
        </w:tc>
        <w:tc>
          <w:tcPr>
            <w:tcW w:w="408" w:type="pct"/>
            <w:shd w:val="clear" w:color="auto" w:fill="auto"/>
            <w:noWrap/>
            <w:vAlign w:val="center"/>
          </w:tcPr>
          <w:p w14:paraId="0FCB37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07" w:type="pct"/>
            <w:shd w:val="clear" w:color="auto" w:fill="auto"/>
            <w:noWrap/>
            <w:vAlign w:val="center"/>
          </w:tcPr>
          <w:p w14:paraId="215FC9ED">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0DEB01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69" w:type="pct"/>
            <w:shd w:val="clear" w:color="auto" w:fill="auto"/>
            <w:noWrap/>
            <w:vAlign w:val="center"/>
          </w:tcPr>
          <w:p w14:paraId="240EF2F2">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1999AB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2CE85334">
            <w:pPr>
              <w:jc w:val="center"/>
              <w:rPr>
                <w:rFonts w:hint="eastAsia" w:ascii="宋体" w:hAnsi="宋体" w:eastAsia="宋体" w:cs="宋体"/>
                <w:i w:val="0"/>
                <w:iCs w:val="0"/>
                <w:color w:val="000000"/>
                <w:sz w:val="22"/>
                <w:szCs w:val="22"/>
                <w:u w:val="none"/>
              </w:rPr>
            </w:pPr>
          </w:p>
        </w:tc>
      </w:tr>
      <w:tr w14:paraId="76D18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5EC77C7F">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7ACD39F3">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1003CF83">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7FE55496">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1A90B6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w:t>
            </w:r>
          </w:p>
        </w:tc>
        <w:tc>
          <w:tcPr>
            <w:tcW w:w="408" w:type="pct"/>
            <w:shd w:val="clear" w:color="auto" w:fill="auto"/>
            <w:noWrap/>
            <w:vAlign w:val="center"/>
          </w:tcPr>
          <w:p w14:paraId="09B972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603224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638459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25F4FF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19183E64">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4F1A678F">
            <w:pPr>
              <w:jc w:val="center"/>
              <w:rPr>
                <w:rFonts w:hint="eastAsia" w:ascii="宋体" w:hAnsi="宋体" w:eastAsia="宋体" w:cs="宋体"/>
                <w:i w:val="0"/>
                <w:iCs w:val="0"/>
                <w:color w:val="000000"/>
                <w:sz w:val="22"/>
                <w:szCs w:val="22"/>
                <w:u w:val="none"/>
              </w:rPr>
            </w:pPr>
          </w:p>
        </w:tc>
      </w:tr>
      <w:tr w14:paraId="7AAD3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restart"/>
            <w:shd w:val="clear" w:color="auto" w:fill="auto"/>
            <w:noWrap/>
            <w:vAlign w:val="center"/>
          </w:tcPr>
          <w:p w14:paraId="742B0A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738" w:type="pct"/>
            <w:vMerge w:val="restart"/>
            <w:shd w:val="clear" w:color="auto" w:fill="auto"/>
            <w:noWrap/>
            <w:vAlign w:val="center"/>
          </w:tcPr>
          <w:p w14:paraId="4F0EE3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鹿鸣路与常熟路</w:t>
            </w:r>
          </w:p>
        </w:tc>
        <w:tc>
          <w:tcPr>
            <w:tcW w:w="505" w:type="pct"/>
            <w:vMerge w:val="restart"/>
            <w:shd w:val="clear" w:color="auto" w:fill="auto"/>
            <w:noWrap/>
            <w:vAlign w:val="center"/>
          </w:tcPr>
          <w:p w14:paraId="3F6110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120.7044361</w:t>
            </w:r>
          </w:p>
        </w:tc>
        <w:tc>
          <w:tcPr>
            <w:tcW w:w="505" w:type="pct"/>
            <w:vMerge w:val="restart"/>
            <w:shd w:val="clear" w:color="auto" w:fill="auto"/>
            <w:noWrap/>
            <w:vAlign w:val="center"/>
          </w:tcPr>
          <w:p w14:paraId="2D00DB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33.21561629</w:t>
            </w:r>
          </w:p>
        </w:tc>
        <w:tc>
          <w:tcPr>
            <w:tcW w:w="288" w:type="pct"/>
            <w:shd w:val="clear" w:color="auto" w:fill="auto"/>
            <w:noWrap/>
            <w:vAlign w:val="center"/>
          </w:tcPr>
          <w:p w14:paraId="443E3A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w:t>
            </w:r>
          </w:p>
        </w:tc>
        <w:tc>
          <w:tcPr>
            <w:tcW w:w="408" w:type="pct"/>
            <w:shd w:val="clear" w:color="auto" w:fill="auto"/>
            <w:noWrap/>
            <w:vAlign w:val="center"/>
          </w:tcPr>
          <w:p w14:paraId="23002E36">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2737671B">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4A1EDFA3">
            <w:pPr>
              <w:jc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798B3943">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71460327">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32DD5B3B">
            <w:pPr>
              <w:jc w:val="center"/>
              <w:rPr>
                <w:rFonts w:hint="eastAsia" w:ascii="宋体" w:hAnsi="宋体" w:eastAsia="宋体" w:cs="宋体"/>
                <w:i w:val="0"/>
                <w:iCs w:val="0"/>
                <w:color w:val="000000"/>
                <w:sz w:val="22"/>
                <w:szCs w:val="22"/>
                <w:u w:val="none"/>
              </w:rPr>
            </w:pPr>
          </w:p>
        </w:tc>
      </w:tr>
      <w:tr w14:paraId="3A228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7145A36F">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237440A0">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13F8DC05">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31540542">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6CD520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w:t>
            </w:r>
          </w:p>
        </w:tc>
        <w:tc>
          <w:tcPr>
            <w:tcW w:w="408" w:type="pct"/>
            <w:shd w:val="clear" w:color="auto" w:fill="auto"/>
            <w:noWrap/>
            <w:vAlign w:val="center"/>
          </w:tcPr>
          <w:p w14:paraId="22F5D2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7F721486">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1C7E6B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3DA8C66A">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7A6A4D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6EC14059">
            <w:pPr>
              <w:jc w:val="center"/>
              <w:rPr>
                <w:rFonts w:hint="eastAsia" w:ascii="宋体" w:hAnsi="宋体" w:eastAsia="宋体" w:cs="宋体"/>
                <w:i w:val="0"/>
                <w:iCs w:val="0"/>
                <w:color w:val="000000"/>
                <w:sz w:val="22"/>
                <w:szCs w:val="22"/>
                <w:u w:val="none"/>
              </w:rPr>
            </w:pPr>
          </w:p>
        </w:tc>
      </w:tr>
      <w:tr w14:paraId="5A2F7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6F3A0FBB">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21B47C42">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150CEF0C">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791808E7">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695542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w:t>
            </w:r>
          </w:p>
        </w:tc>
        <w:tc>
          <w:tcPr>
            <w:tcW w:w="408" w:type="pct"/>
            <w:shd w:val="clear" w:color="auto" w:fill="auto"/>
            <w:noWrap/>
            <w:vAlign w:val="center"/>
          </w:tcPr>
          <w:p w14:paraId="17E4E1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558D87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607393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3385DC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2A8BB6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6E8EBF00">
            <w:pPr>
              <w:jc w:val="center"/>
              <w:rPr>
                <w:rFonts w:hint="eastAsia" w:ascii="宋体" w:hAnsi="宋体" w:eastAsia="宋体" w:cs="宋体"/>
                <w:i w:val="0"/>
                <w:iCs w:val="0"/>
                <w:color w:val="000000"/>
                <w:sz w:val="22"/>
                <w:szCs w:val="22"/>
                <w:u w:val="none"/>
              </w:rPr>
            </w:pPr>
          </w:p>
        </w:tc>
      </w:tr>
      <w:tr w14:paraId="5E168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71463972">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4C5912F4">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6B6D6D53">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28FDBF69">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545E5F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w:t>
            </w:r>
          </w:p>
        </w:tc>
        <w:tc>
          <w:tcPr>
            <w:tcW w:w="408" w:type="pct"/>
            <w:shd w:val="clear" w:color="auto" w:fill="auto"/>
            <w:noWrap/>
            <w:vAlign w:val="center"/>
          </w:tcPr>
          <w:p w14:paraId="34E1A4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22DF24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34545D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6111E6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301601DE">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3940801E">
            <w:pPr>
              <w:jc w:val="center"/>
              <w:rPr>
                <w:rFonts w:hint="eastAsia" w:ascii="宋体" w:hAnsi="宋体" w:eastAsia="宋体" w:cs="宋体"/>
                <w:i w:val="0"/>
                <w:iCs w:val="0"/>
                <w:color w:val="000000"/>
                <w:sz w:val="22"/>
                <w:szCs w:val="22"/>
                <w:u w:val="none"/>
              </w:rPr>
            </w:pPr>
          </w:p>
        </w:tc>
      </w:tr>
      <w:tr w14:paraId="5E1A9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restart"/>
            <w:shd w:val="clear" w:color="auto" w:fill="auto"/>
            <w:noWrap/>
            <w:vAlign w:val="center"/>
          </w:tcPr>
          <w:p w14:paraId="574EFF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738" w:type="pct"/>
            <w:vMerge w:val="restart"/>
            <w:shd w:val="clear" w:color="auto" w:fill="auto"/>
            <w:noWrap/>
            <w:vAlign w:val="center"/>
          </w:tcPr>
          <w:p w14:paraId="3BFC51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鹿鸣路与昆山路</w:t>
            </w:r>
          </w:p>
        </w:tc>
        <w:tc>
          <w:tcPr>
            <w:tcW w:w="505" w:type="pct"/>
            <w:vMerge w:val="restart"/>
            <w:shd w:val="clear" w:color="auto" w:fill="auto"/>
            <w:noWrap/>
            <w:vAlign w:val="center"/>
          </w:tcPr>
          <w:p w14:paraId="37C846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120.7097669</w:t>
            </w:r>
          </w:p>
        </w:tc>
        <w:tc>
          <w:tcPr>
            <w:tcW w:w="505" w:type="pct"/>
            <w:vMerge w:val="restart"/>
            <w:shd w:val="clear" w:color="auto" w:fill="auto"/>
            <w:noWrap/>
            <w:vAlign w:val="center"/>
          </w:tcPr>
          <w:p w14:paraId="20D20B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33.21595692</w:t>
            </w:r>
          </w:p>
        </w:tc>
        <w:tc>
          <w:tcPr>
            <w:tcW w:w="288" w:type="pct"/>
            <w:shd w:val="clear" w:color="auto" w:fill="auto"/>
            <w:noWrap/>
            <w:vAlign w:val="center"/>
          </w:tcPr>
          <w:p w14:paraId="6E8037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w:t>
            </w:r>
          </w:p>
        </w:tc>
        <w:tc>
          <w:tcPr>
            <w:tcW w:w="408" w:type="pct"/>
            <w:shd w:val="clear" w:color="auto" w:fill="auto"/>
            <w:noWrap/>
            <w:vAlign w:val="center"/>
          </w:tcPr>
          <w:p w14:paraId="4484F7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5D2FB3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0743F5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2BFAD0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65BDB6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42824B6D">
            <w:pPr>
              <w:jc w:val="center"/>
              <w:rPr>
                <w:rFonts w:hint="eastAsia" w:ascii="宋体" w:hAnsi="宋体" w:eastAsia="宋体" w:cs="宋体"/>
                <w:i w:val="0"/>
                <w:iCs w:val="0"/>
                <w:color w:val="000000"/>
                <w:sz w:val="22"/>
                <w:szCs w:val="22"/>
                <w:u w:val="none"/>
              </w:rPr>
            </w:pPr>
          </w:p>
        </w:tc>
      </w:tr>
      <w:tr w14:paraId="1E64B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46BC57AB">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079921FA">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03155AF4">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7691165C">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6DAD9A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w:t>
            </w:r>
          </w:p>
        </w:tc>
        <w:tc>
          <w:tcPr>
            <w:tcW w:w="408" w:type="pct"/>
            <w:shd w:val="clear" w:color="auto" w:fill="auto"/>
            <w:noWrap/>
            <w:vAlign w:val="center"/>
          </w:tcPr>
          <w:p w14:paraId="358F35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17BAD65A">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687588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56579B6F">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5B3452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49E7217E">
            <w:pPr>
              <w:jc w:val="center"/>
              <w:rPr>
                <w:rFonts w:hint="eastAsia" w:ascii="宋体" w:hAnsi="宋体" w:eastAsia="宋体" w:cs="宋体"/>
                <w:i w:val="0"/>
                <w:iCs w:val="0"/>
                <w:color w:val="000000"/>
                <w:sz w:val="22"/>
                <w:szCs w:val="22"/>
                <w:u w:val="none"/>
              </w:rPr>
            </w:pPr>
          </w:p>
        </w:tc>
      </w:tr>
      <w:tr w14:paraId="7706F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27E345C1">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4A3C1D9D">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03E2B8F5">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69076BCF">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7C10C9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w:t>
            </w:r>
          </w:p>
        </w:tc>
        <w:tc>
          <w:tcPr>
            <w:tcW w:w="408" w:type="pct"/>
            <w:shd w:val="clear" w:color="auto" w:fill="auto"/>
            <w:noWrap/>
            <w:vAlign w:val="center"/>
          </w:tcPr>
          <w:p w14:paraId="596D33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2F9369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67EAF7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067CFF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22AE79CB">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5D8DD9B4">
            <w:pPr>
              <w:jc w:val="center"/>
              <w:rPr>
                <w:rFonts w:hint="eastAsia" w:ascii="宋体" w:hAnsi="宋体" w:eastAsia="宋体" w:cs="宋体"/>
                <w:i w:val="0"/>
                <w:iCs w:val="0"/>
                <w:color w:val="000000"/>
                <w:sz w:val="22"/>
                <w:szCs w:val="22"/>
                <w:u w:val="none"/>
              </w:rPr>
            </w:pPr>
          </w:p>
        </w:tc>
      </w:tr>
      <w:tr w14:paraId="34E1F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29C4E092">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0B5B592A">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6F09D6CB">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0C769566">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6E90DB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w:t>
            </w:r>
          </w:p>
        </w:tc>
        <w:tc>
          <w:tcPr>
            <w:tcW w:w="408" w:type="pct"/>
            <w:shd w:val="clear" w:color="auto" w:fill="auto"/>
            <w:noWrap/>
            <w:vAlign w:val="center"/>
          </w:tcPr>
          <w:p w14:paraId="1C7F8B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174571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365101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2E6BB1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2FE8E86E">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6E3342C5">
            <w:pPr>
              <w:jc w:val="center"/>
              <w:rPr>
                <w:rFonts w:hint="eastAsia" w:ascii="宋体" w:hAnsi="宋体" w:eastAsia="宋体" w:cs="宋体"/>
                <w:i w:val="0"/>
                <w:iCs w:val="0"/>
                <w:color w:val="000000"/>
                <w:sz w:val="22"/>
                <w:szCs w:val="22"/>
                <w:u w:val="none"/>
              </w:rPr>
            </w:pPr>
          </w:p>
        </w:tc>
      </w:tr>
      <w:tr w14:paraId="538B4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restart"/>
            <w:shd w:val="clear" w:color="auto" w:fill="auto"/>
            <w:noWrap/>
            <w:vAlign w:val="center"/>
          </w:tcPr>
          <w:p w14:paraId="06433F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738" w:type="pct"/>
            <w:vMerge w:val="restart"/>
            <w:shd w:val="clear" w:color="auto" w:fill="auto"/>
            <w:noWrap/>
            <w:vAlign w:val="center"/>
          </w:tcPr>
          <w:p w14:paraId="625E5B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鹿鸣路与张家港路</w:t>
            </w:r>
          </w:p>
        </w:tc>
        <w:tc>
          <w:tcPr>
            <w:tcW w:w="505" w:type="pct"/>
            <w:vMerge w:val="restart"/>
            <w:shd w:val="clear" w:color="auto" w:fill="auto"/>
            <w:noWrap/>
            <w:vAlign w:val="center"/>
          </w:tcPr>
          <w:p w14:paraId="202DEC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120.7151829</w:t>
            </w:r>
          </w:p>
        </w:tc>
        <w:tc>
          <w:tcPr>
            <w:tcW w:w="505" w:type="pct"/>
            <w:vMerge w:val="restart"/>
            <w:shd w:val="clear" w:color="auto" w:fill="auto"/>
            <w:noWrap/>
            <w:vAlign w:val="center"/>
          </w:tcPr>
          <w:p w14:paraId="1B6550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33.21623412</w:t>
            </w:r>
          </w:p>
        </w:tc>
        <w:tc>
          <w:tcPr>
            <w:tcW w:w="288" w:type="pct"/>
            <w:shd w:val="clear" w:color="auto" w:fill="auto"/>
            <w:noWrap/>
            <w:vAlign w:val="center"/>
          </w:tcPr>
          <w:p w14:paraId="188019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w:t>
            </w:r>
          </w:p>
        </w:tc>
        <w:tc>
          <w:tcPr>
            <w:tcW w:w="408" w:type="pct"/>
            <w:shd w:val="clear" w:color="auto" w:fill="auto"/>
            <w:noWrap/>
            <w:vAlign w:val="center"/>
          </w:tcPr>
          <w:p w14:paraId="6E06AEA1">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673FCAF5">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42DC06D6">
            <w:pPr>
              <w:jc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26D8AA05">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62D95FC3">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38E2DB09">
            <w:pPr>
              <w:jc w:val="center"/>
              <w:rPr>
                <w:rFonts w:hint="eastAsia" w:ascii="宋体" w:hAnsi="宋体" w:eastAsia="宋体" w:cs="宋体"/>
                <w:i w:val="0"/>
                <w:iCs w:val="0"/>
                <w:color w:val="000000"/>
                <w:sz w:val="22"/>
                <w:szCs w:val="22"/>
                <w:u w:val="none"/>
              </w:rPr>
            </w:pPr>
          </w:p>
        </w:tc>
      </w:tr>
      <w:tr w14:paraId="0932E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2D86A248">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53DFA312">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445B3BA5">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617B7D57">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32E919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w:t>
            </w:r>
          </w:p>
        </w:tc>
        <w:tc>
          <w:tcPr>
            <w:tcW w:w="408" w:type="pct"/>
            <w:shd w:val="clear" w:color="auto" w:fill="auto"/>
            <w:noWrap/>
            <w:vAlign w:val="center"/>
          </w:tcPr>
          <w:p w14:paraId="4AE7FA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3EAEDCB0">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6AF8B0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0EB507E2">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311FFB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76FE30C4">
            <w:pPr>
              <w:jc w:val="center"/>
              <w:rPr>
                <w:rFonts w:hint="eastAsia" w:ascii="宋体" w:hAnsi="宋体" w:eastAsia="宋体" w:cs="宋体"/>
                <w:i w:val="0"/>
                <w:iCs w:val="0"/>
                <w:color w:val="000000"/>
                <w:sz w:val="22"/>
                <w:szCs w:val="22"/>
                <w:u w:val="none"/>
              </w:rPr>
            </w:pPr>
          </w:p>
        </w:tc>
      </w:tr>
      <w:tr w14:paraId="34FE2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0FB71AC4">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03B6F2E8">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43C5ED6A">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60E6316E">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7AFEF1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w:t>
            </w:r>
          </w:p>
        </w:tc>
        <w:tc>
          <w:tcPr>
            <w:tcW w:w="408" w:type="pct"/>
            <w:shd w:val="clear" w:color="auto" w:fill="auto"/>
            <w:noWrap/>
            <w:vAlign w:val="center"/>
          </w:tcPr>
          <w:p w14:paraId="54520F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3686BB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54FE2E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601302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2860221A">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2ADA5F50">
            <w:pPr>
              <w:jc w:val="center"/>
              <w:rPr>
                <w:rFonts w:hint="eastAsia" w:ascii="宋体" w:hAnsi="宋体" w:eastAsia="宋体" w:cs="宋体"/>
                <w:i w:val="0"/>
                <w:iCs w:val="0"/>
                <w:color w:val="000000"/>
                <w:sz w:val="22"/>
                <w:szCs w:val="22"/>
                <w:u w:val="none"/>
              </w:rPr>
            </w:pPr>
          </w:p>
        </w:tc>
      </w:tr>
      <w:tr w14:paraId="7E234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3D89C24D">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73DB47A3">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1807DD98">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7D47704E">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164D97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w:t>
            </w:r>
          </w:p>
        </w:tc>
        <w:tc>
          <w:tcPr>
            <w:tcW w:w="408" w:type="pct"/>
            <w:shd w:val="clear" w:color="auto" w:fill="auto"/>
            <w:noWrap/>
            <w:vAlign w:val="center"/>
          </w:tcPr>
          <w:p w14:paraId="102308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00FC97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5F60B5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0DFAC7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423A4ED4">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1CB9C9E9">
            <w:pPr>
              <w:jc w:val="center"/>
              <w:rPr>
                <w:rFonts w:hint="eastAsia" w:ascii="宋体" w:hAnsi="宋体" w:eastAsia="宋体" w:cs="宋体"/>
                <w:i w:val="0"/>
                <w:iCs w:val="0"/>
                <w:color w:val="000000"/>
                <w:sz w:val="22"/>
                <w:szCs w:val="22"/>
                <w:u w:val="none"/>
              </w:rPr>
            </w:pPr>
          </w:p>
        </w:tc>
      </w:tr>
      <w:tr w14:paraId="1DDCF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restart"/>
            <w:shd w:val="clear" w:color="auto" w:fill="auto"/>
            <w:noWrap/>
            <w:vAlign w:val="center"/>
          </w:tcPr>
          <w:p w14:paraId="6FBDF6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738" w:type="pct"/>
            <w:vMerge w:val="restart"/>
            <w:shd w:val="clear" w:color="auto" w:fill="auto"/>
            <w:noWrap/>
            <w:vAlign w:val="center"/>
          </w:tcPr>
          <w:p w14:paraId="170484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崇文路与张家港路</w:t>
            </w:r>
          </w:p>
        </w:tc>
        <w:tc>
          <w:tcPr>
            <w:tcW w:w="505" w:type="pct"/>
            <w:vMerge w:val="restart"/>
            <w:shd w:val="clear" w:color="auto" w:fill="auto"/>
            <w:noWrap/>
            <w:vAlign w:val="center"/>
          </w:tcPr>
          <w:p w14:paraId="7EB867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120.7147859</w:t>
            </w:r>
          </w:p>
        </w:tc>
        <w:tc>
          <w:tcPr>
            <w:tcW w:w="505" w:type="pct"/>
            <w:vMerge w:val="restart"/>
            <w:shd w:val="clear" w:color="auto" w:fill="auto"/>
            <w:noWrap/>
            <w:vAlign w:val="center"/>
          </w:tcPr>
          <w:p w14:paraId="089407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33.22171226</w:t>
            </w:r>
          </w:p>
        </w:tc>
        <w:tc>
          <w:tcPr>
            <w:tcW w:w="288" w:type="pct"/>
            <w:shd w:val="clear" w:color="auto" w:fill="auto"/>
            <w:noWrap/>
            <w:vAlign w:val="center"/>
          </w:tcPr>
          <w:p w14:paraId="1F41CC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w:t>
            </w:r>
          </w:p>
        </w:tc>
        <w:tc>
          <w:tcPr>
            <w:tcW w:w="408" w:type="pct"/>
            <w:shd w:val="clear" w:color="auto" w:fill="auto"/>
            <w:noWrap/>
            <w:vAlign w:val="center"/>
          </w:tcPr>
          <w:p w14:paraId="34286347">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79AB27A2">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1A4153F6">
            <w:pPr>
              <w:jc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53B9E939">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2D7F5374">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2BD87CA6">
            <w:pPr>
              <w:jc w:val="center"/>
              <w:rPr>
                <w:rFonts w:hint="eastAsia" w:ascii="宋体" w:hAnsi="宋体" w:eastAsia="宋体" w:cs="宋体"/>
                <w:i w:val="0"/>
                <w:iCs w:val="0"/>
                <w:color w:val="000000"/>
                <w:sz w:val="22"/>
                <w:szCs w:val="22"/>
                <w:u w:val="none"/>
              </w:rPr>
            </w:pPr>
          </w:p>
        </w:tc>
      </w:tr>
      <w:tr w14:paraId="62EF9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3A61764F">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6B11CC44">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51D2FCFC">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1F610E7A">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74B5B1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w:t>
            </w:r>
          </w:p>
        </w:tc>
        <w:tc>
          <w:tcPr>
            <w:tcW w:w="408" w:type="pct"/>
            <w:shd w:val="clear" w:color="auto" w:fill="auto"/>
            <w:noWrap/>
            <w:vAlign w:val="center"/>
          </w:tcPr>
          <w:p w14:paraId="1CAC40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4F2C86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6E899E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390682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3A01B9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129B3D61">
            <w:pPr>
              <w:jc w:val="center"/>
              <w:rPr>
                <w:rFonts w:hint="eastAsia" w:ascii="宋体" w:hAnsi="宋体" w:eastAsia="宋体" w:cs="宋体"/>
                <w:i w:val="0"/>
                <w:iCs w:val="0"/>
                <w:color w:val="000000"/>
                <w:sz w:val="22"/>
                <w:szCs w:val="22"/>
                <w:u w:val="none"/>
              </w:rPr>
            </w:pPr>
          </w:p>
        </w:tc>
      </w:tr>
      <w:tr w14:paraId="25974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6EA9F1E0">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7EF2E028">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4A5F6CFE">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089C490F">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59A7F5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w:t>
            </w:r>
          </w:p>
        </w:tc>
        <w:tc>
          <w:tcPr>
            <w:tcW w:w="408" w:type="pct"/>
            <w:shd w:val="clear" w:color="auto" w:fill="auto"/>
            <w:noWrap/>
            <w:vAlign w:val="center"/>
          </w:tcPr>
          <w:p w14:paraId="7B5FC9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07" w:type="pct"/>
            <w:shd w:val="clear" w:color="auto" w:fill="auto"/>
            <w:noWrap/>
            <w:vAlign w:val="center"/>
          </w:tcPr>
          <w:p w14:paraId="4206E398">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75E5C5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69" w:type="pct"/>
            <w:shd w:val="clear" w:color="auto" w:fill="auto"/>
            <w:noWrap/>
            <w:vAlign w:val="center"/>
          </w:tcPr>
          <w:p w14:paraId="6F271FFC">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44E350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28E18CAD">
            <w:pPr>
              <w:jc w:val="center"/>
              <w:rPr>
                <w:rFonts w:hint="eastAsia" w:ascii="宋体" w:hAnsi="宋体" w:eastAsia="宋体" w:cs="宋体"/>
                <w:i w:val="0"/>
                <w:iCs w:val="0"/>
                <w:color w:val="000000"/>
                <w:sz w:val="22"/>
                <w:szCs w:val="22"/>
                <w:u w:val="none"/>
              </w:rPr>
            </w:pPr>
          </w:p>
        </w:tc>
      </w:tr>
      <w:tr w14:paraId="331F0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25D7FBB2">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6D17222C">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06D4516F">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6566B428">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3C4C44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w:t>
            </w:r>
          </w:p>
        </w:tc>
        <w:tc>
          <w:tcPr>
            <w:tcW w:w="408" w:type="pct"/>
            <w:shd w:val="clear" w:color="auto" w:fill="auto"/>
            <w:noWrap/>
            <w:vAlign w:val="center"/>
          </w:tcPr>
          <w:p w14:paraId="1A4C14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7B8DC1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213FAF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5E7605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25107835">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1E9F2C2A">
            <w:pPr>
              <w:jc w:val="center"/>
              <w:rPr>
                <w:rFonts w:hint="eastAsia" w:ascii="宋体" w:hAnsi="宋体" w:eastAsia="宋体" w:cs="宋体"/>
                <w:i w:val="0"/>
                <w:iCs w:val="0"/>
                <w:color w:val="000000"/>
                <w:sz w:val="22"/>
                <w:szCs w:val="22"/>
                <w:u w:val="none"/>
              </w:rPr>
            </w:pPr>
          </w:p>
        </w:tc>
      </w:tr>
      <w:tr w14:paraId="60749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restart"/>
            <w:shd w:val="clear" w:color="auto" w:fill="auto"/>
            <w:noWrap/>
            <w:vAlign w:val="center"/>
          </w:tcPr>
          <w:p w14:paraId="06E6C2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738" w:type="pct"/>
            <w:vMerge w:val="restart"/>
            <w:shd w:val="clear" w:color="auto" w:fill="auto"/>
            <w:noWrap/>
            <w:vAlign w:val="center"/>
          </w:tcPr>
          <w:p w14:paraId="13B132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崇文路与昆山路</w:t>
            </w:r>
          </w:p>
        </w:tc>
        <w:tc>
          <w:tcPr>
            <w:tcW w:w="505" w:type="pct"/>
            <w:vMerge w:val="restart"/>
            <w:shd w:val="clear" w:color="auto" w:fill="auto"/>
            <w:noWrap/>
            <w:vAlign w:val="center"/>
          </w:tcPr>
          <w:p w14:paraId="141097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120.7092945</w:t>
            </w:r>
          </w:p>
        </w:tc>
        <w:tc>
          <w:tcPr>
            <w:tcW w:w="505" w:type="pct"/>
            <w:vMerge w:val="restart"/>
            <w:shd w:val="clear" w:color="auto" w:fill="auto"/>
            <w:noWrap/>
            <w:vAlign w:val="center"/>
          </w:tcPr>
          <w:p w14:paraId="397B3A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33.22133612</w:t>
            </w:r>
          </w:p>
        </w:tc>
        <w:tc>
          <w:tcPr>
            <w:tcW w:w="288" w:type="pct"/>
            <w:shd w:val="clear" w:color="auto" w:fill="auto"/>
            <w:noWrap/>
            <w:vAlign w:val="center"/>
          </w:tcPr>
          <w:p w14:paraId="72E1BB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w:t>
            </w:r>
          </w:p>
        </w:tc>
        <w:tc>
          <w:tcPr>
            <w:tcW w:w="408" w:type="pct"/>
            <w:shd w:val="clear" w:color="auto" w:fill="auto"/>
            <w:noWrap/>
            <w:vAlign w:val="center"/>
          </w:tcPr>
          <w:p w14:paraId="367C41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07" w:type="pct"/>
            <w:shd w:val="clear" w:color="auto" w:fill="auto"/>
            <w:noWrap/>
            <w:vAlign w:val="center"/>
          </w:tcPr>
          <w:p w14:paraId="19518ABC">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189099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69" w:type="pct"/>
            <w:shd w:val="clear" w:color="auto" w:fill="auto"/>
            <w:noWrap/>
            <w:vAlign w:val="center"/>
          </w:tcPr>
          <w:p w14:paraId="22E7AB55">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61C0F6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3C13B23D">
            <w:pPr>
              <w:jc w:val="center"/>
              <w:rPr>
                <w:rFonts w:hint="eastAsia" w:ascii="宋体" w:hAnsi="宋体" w:eastAsia="宋体" w:cs="宋体"/>
                <w:i w:val="0"/>
                <w:iCs w:val="0"/>
                <w:color w:val="000000"/>
                <w:sz w:val="22"/>
                <w:szCs w:val="22"/>
                <w:u w:val="none"/>
              </w:rPr>
            </w:pPr>
          </w:p>
        </w:tc>
      </w:tr>
      <w:tr w14:paraId="66175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6A19F932">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2B463C7F">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2CC4E283">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18A1B5FA">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2066CD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w:t>
            </w:r>
          </w:p>
        </w:tc>
        <w:tc>
          <w:tcPr>
            <w:tcW w:w="408" w:type="pct"/>
            <w:shd w:val="clear" w:color="auto" w:fill="auto"/>
            <w:noWrap/>
            <w:vAlign w:val="center"/>
          </w:tcPr>
          <w:p w14:paraId="354F7C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50ADFC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2348BC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39CB5A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1712AD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1447CF1F">
            <w:pPr>
              <w:jc w:val="center"/>
              <w:rPr>
                <w:rFonts w:hint="eastAsia" w:ascii="宋体" w:hAnsi="宋体" w:eastAsia="宋体" w:cs="宋体"/>
                <w:i w:val="0"/>
                <w:iCs w:val="0"/>
                <w:color w:val="000000"/>
                <w:sz w:val="22"/>
                <w:szCs w:val="22"/>
                <w:u w:val="none"/>
              </w:rPr>
            </w:pPr>
          </w:p>
        </w:tc>
      </w:tr>
      <w:tr w14:paraId="1B1BD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5111FC77">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772EE941">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527AE802">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3CC29FE9">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7BC6A1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w:t>
            </w:r>
          </w:p>
        </w:tc>
        <w:tc>
          <w:tcPr>
            <w:tcW w:w="408" w:type="pct"/>
            <w:shd w:val="clear" w:color="auto" w:fill="auto"/>
            <w:noWrap/>
            <w:vAlign w:val="center"/>
          </w:tcPr>
          <w:p w14:paraId="4729F6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07" w:type="pct"/>
            <w:shd w:val="clear" w:color="auto" w:fill="auto"/>
            <w:noWrap/>
            <w:vAlign w:val="center"/>
          </w:tcPr>
          <w:p w14:paraId="2F5D822B">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68E43E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69" w:type="pct"/>
            <w:shd w:val="clear" w:color="auto" w:fill="auto"/>
            <w:noWrap/>
            <w:vAlign w:val="center"/>
          </w:tcPr>
          <w:p w14:paraId="69F10B48">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1BE7EAB0">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2C7725AE">
            <w:pPr>
              <w:jc w:val="center"/>
              <w:rPr>
                <w:rFonts w:hint="eastAsia" w:ascii="宋体" w:hAnsi="宋体" w:eastAsia="宋体" w:cs="宋体"/>
                <w:i w:val="0"/>
                <w:iCs w:val="0"/>
                <w:color w:val="000000"/>
                <w:sz w:val="22"/>
                <w:szCs w:val="22"/>
                <w:u w:val="none"/>
              </w:rPr>
            </w:pPr>
          </w:p>
        </w:tc>
      </w:tr>
      <w:tr w14:paraId="34F2E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1FC52DDE">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3B588587">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5ADE45C5">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0E226B44">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15B8CB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w:t>
            </w:r>
          </w:p>
        </w:tc>
        <w:tc>
          <w:tcPr>
            <w:tcW w:w="408" w:type="pct"/>
            <w:shd w:val="clear" w:color="auto" w:fill="auto"/>
            <w:noWrap/>
            <w:vAlign w:val="center"/>
          </w:tcPr>
          <w:p w14:paraId="6995BA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1C1DD6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31EBE6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17666A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178C87FC">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1E3F7E21">
            <w:pPr>
              <w:jc w:val="center"/>
              <w:rPr>
                <w:rFonts w:hint="eastAsia" w:ascii="宋体" w:hAnsi="宋体" w:eastAsia="宋体" w:cs="宋体"/>
                <w:i w:val="0"/>
                <w:iCs w:val="0"/>
                <w:color w:val="000000"/>
                <w:sz w:val="22"/>
                <w:szCs w:val="22"/>
                <w:u w:val="none"/>
              </w:rPr>
            </w:pPr>
          </w:p>
        </w:tc>
      </w:tr>
      <w:tr w14:paraId="5E6D3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restart"/>
            <w:shd w:val="clear" w:color="auto" w:fill="auto"/>
            <w:noWrap/>
            <w:vAlign w:val="center"/>
          </w:tcPr>
          <w:p w14:paraId="6C8DDE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738" w:type="pct"/>
            <w:vMerge w:val="restart"/>
            <w:shd w:val="clear" w:color="auto" w:fill="auto"/>
            <w:noWrap/>
            <w:vAlign w:val="center"/>
          </w:tcPr>
          <w:p w14:paraId="455DE2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新北路与广丰路</w:t>
            </w:r>
          </w:p>
        </w:tc>
        <w:tc>
          <w:tcPr>
            <w:tcW w:w="505" w:type="pct"/>
            <w:vMerge w:val="restart"/>
            <w:shd w:val="clear" w:color="auto" w:fill="auto"/>
            <w:noWrap/>
            <w:vAlign w:val="center"/>
          </w:tcPr>
          <w:p w14:paraId="754FEF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120.5138161</w:t>
            </w:r>
          </w:p>
        </w:tc>
        <w:tc>
          <w:tcPr>
            <w:tcW w:w="505" w:type="pct"/>
            <w:vMerge w:val="restart"/>
            <w:shd w:val="clear" w:color="auto" w:fill="auto"/>
            <w:noWrap/>
            <w:vAlign w:val="center"/>
          </w:tcPr>
          <w:p w14:paraId="3D81D0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33.21561999</w:t>
            </w:r>
          </w:p>
        </w:tc>
        <w:tc>
          <w:tcPr>
            <w:tcW w:w="288" w:type="pct"/>
            <w:shd w:val="clear" w:color="auto" w:fill="auto"/>
            <w:noWrap/>
            <w:vAlign w:val="center"/>
          </w:tcPr>
          <w:p w14:paraId="17E289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w:t>
            </w:r>
          </w:p>
        </w:tc>
        <w:tc>
          <w:tcPr>
            <w:tcW w:w="408" w:type="pct"/>
            <w:shd w:val="clear" w:color="auto" w:fill="auto"/>
            <w:noWrap/>
            <w:vAlign w:val="center"/>
          </w:tcPr>
          <w:p w14:paraId="1C644B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2F6807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0C5D7E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5EDB9D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24011E2C">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3E7DCA70">
            <w:pPr>
              <w:jc w:val="center"/>
              <w:rPr>
                <w:rFonts w:hint="eastAsia" w:ascii="宋体" w:hAnsi="宋体" w:eastAsia="宋体" w:cs="宋体"/>
                <w:i w:val="0"/>
                <w:iCs w:val="0"/>
                <w:color w:val="000000"/>
                <w:sz w:val="22"/>
                <w:szCs w:val="22"/>
                <w:u w:val="none"/>
              </w:rPr>
            </w:pPr>
          </w:p>
        </w:tc>
      </w:tr>
      <w:tr w14:paraId="2992E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11BBBB57">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464EEE55">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78332884">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1D38C3AC">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040DF5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w:t>
            </w:r>
          </w:p>
        </w:tc>
        <w:tc>
          <w:tcPr>
            <w:tcW w:w="408" w:type="pct"/>
            <w:shd w:val="clear" w:color="auto" w:fill="auto"/>
            <w:noWrap/>
            <w:vAlign w:val="center"/>
          </w:tcPr>
          <w:p w14:paraId="5C3EB1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2720C0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59E952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339668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505063F4">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17403D29">
            <w:pPr>
              <w:jc w:val="center"/>
              <w:rPr>
                <w:rFonts w:hint="eastAsia" w:ascii="宋体" w:hAnsi="宋体" w:eastAsia="宋体" w:cs="宋体"/>
                <w:i w:val="0"/>
                <w:iCs w:val="0"/>
                <w:color w:val="000000"/>
                <w:sz w:val="22"/>
                <w:szCs w:val="22"/>
                <w:u w:val="none"/>
              </w:rPr>
            </w:pPr>
          </w:p>
        </w:tc>
      </w:tr>
      <w:tr w14:paraId="0681B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705DE1A9">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425D2A45">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4820D4C7">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597A270E">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54037B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w:t>
            </w:r>
          </w:p>
        </w:tc>
        <w:tc>
          <w:tcPr>
            <w:tcW w:w="408" w:type="pct"/>
            <w:shd w:val="clear" w:color="auto" w:fill="auto"/>
            <w:noWrap/>
            <w:vAlign w:val="center"/>
          </w:tcPr>
          <w:p w14:paraId="1DF147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64487A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39D957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481237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4B4A00F9">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298EE16D">
            <w:pPr>
              <w:jc w:val="center"/>
              <w:rPr>
                <w:rFonts w:hint="eastAsia" w:ascii="宋体" w:hAnsi="宋体" w:eastAsia="宋体" w:cs="宋体"/>
                <w:i w:val="0"/>
                <w:iCs w:val="0"/>
                <w:color w:val="000000"/>
                <w:sz w:val="22"/>
                <w:szCs w:val="22"/>
                <w:u w:val="none"/>
              </w:rPr>
            </w:pPr>
          </w:p>
        </w:tc>
      </w:tr>
      <w:tr w14:paraId="3F1E5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6B991521">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13727CD1">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3267FFD3">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620B06F6">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512ACE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w:t>
            </w:r>
          </w:p>
        </w:tc>
        <w:tc>
          <w:tcPr>
            <w:tcW w:w="408" w:type="pct"/>
            <w:shd w:val="clear" w:color="auto" w:fill="auto"/>
            <w:noWrap/>
            <w:vAlign w:val="center"/>
          </w:tcPr>
          <w:p w14:paraId="25B0A6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2F2C79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4D8C46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6B22B3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20D44067">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00FC7E42">
            <w:pPr>
              <w:jc w:val="center"/>
              <w:rPr>
                <w:rFonts w:hint="eastAsia" w:ascii="宋体" w:hAnsi="宋体" w:eastAsia="宋体" w:cs="宋体"/>
                <w:i w:val="0"/>
                <w:iCs w:val="0"/>
                <w:color w:val="000000"/>
                <w:sz w:val="22"/>
                <w:szCs w:val="22"/>
                <w:u w:val="none"/>
              </w:rPr>
            </w:pPr>
          </w:p>
        </w:tc>
      </w:tr>
      <w:tr w14:paraId="5CE22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restart"/>
            <w:shd w:val="clear" w:color="auto" w:fill="auto"/>
            <w:noWrap/>
            <w:vAlign w:val="center"/>
          </w:tcPr>
          <w:p w14:paraId="300133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738" w:type="pct"/>
            <w:vMerge w:val="restart"/>
            <w:shd w:val="clear" w:color="auto" w:fill="auto"/>
            <w:noWrap/>
            <w:vAlign w:val="center"/>
          </w:tcPr>
          <w:p w14:paraId="3D5BB2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新村路与广丰路</w:t>
            </w:r>
          </w:p>
        </w:tc>
        <w:tc>
          <w:tcPr>
            <w:tcW w:w="505" w:type="pct"/>
            <w:vMerge w:val="restart"/>
            <w:shd w:val="clear" w:color="auto" w:fill="auto"/>
            <w:noWrap/>
            <w:vAlign w:val="center"/>
          </w:tcPr>
          <w:p w14:paraId="52E858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120.514091</w:t>
            </w:r>
          </w:p>
        </w:tc>
        <w:tc>
          <w:tcPr>
            <w:tcW w:w="505" w:type="pct"/>
            <w:vMerge w:val="restart"/>
            <w:shd w:val="clear" w:color="auto" w:fill="auto"/>
            <w:noWrap/>
            <w:vAlign w:val="center"/>
          </w:tcPr>
          <w:p w14:paraId="6ED04A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33.21258775</w:t>
            </w:r>
          </w:p>
        </w:tc>
        <w:tc>
          <w:tcPr>
            <w:tcW w:w="288" w:type="pct"/>
            <w:shd w:val="clear" w:color="auto" w:fill="auto"/>
            <w:noWrap/>
            <w:vAlign w:val="center"/>
          </w:tcPr>
          <w:p w14:paraId="09E945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w:t>
            </w:r>
          </w:p>
        </w:tc>
        <w:tc>
          <w:tcPr>
            <w:tcW w:w="408" w:type="pct"/>
            <w:shd w:val="clear" w:color="auto" w:fill="auto"/>
            <w:noWrap/>
            <w:vAlign w:val="center"/>
          </w:tcPr>
          <w:p w14:paraId="1132DA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051211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29712E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0901D8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7EF9D4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05BF2B96">
            <w:pPr>
              <w:jc w:val="center"/>
              <w:rPr>
                <w:rFonts w:hint="eastAsia" w:ascii="宋体" w:hAnsi="宋体" w:eastAsia="宋体" w:cs="宋体"/>
                <w:i w:val="0"/>
                <w:iCs w:val="0"/>
                <w:color w:val="000000"/>
                <w:sz w:val="22"/>
                <w:szCs w:val="22"/>
                <w:u w:val="none"/>
              </w:rPr>
            </w:pPr>
          </w:p>
        </w:tc>
      </w:tr>
      <w:tr w14:paraId="25D43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193E021C">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48A6CA6E">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24EFCECB">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10734142">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60C391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w:t>
            </w:r>
          </w:p>
        </w:tc>
        <w:tc>
          <w:tcPr>
            <w:tcW w:w="408" w:type="pct"/>
            <w:shd w:val="clear" w:color="auto" w:fill="auto"/>
            <w:noWrap/>
            <w:vAlign w:val="center"/>
          </w:tcPr>
          <w:p w14:paraId="435868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193701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2269BA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488104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2D703FF0">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766238A1">
            <w:pPr>
              <w:jc w:val="center"/>
              <w:rPr>
                <w:rFonts w:hint="eastAsia" w:ascii="宋体" w:hAnsi="宋体" w:eastAsia="宋体" w:cs="宋体"/>
                <w:i w:val="0"/>
                <w:iCs w:val="0"/>
                <w:color w:val="000000"/>
                <w:sz w:val="22"/>
                <w:szCs w:val="22"/>
                <w:u w:val="none"/>
              </w:rPr>
            </w:pPr>
          </w:p>
        </w:tc>
      </w:tr>
      <w:tr w14:paraId="5EBEF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55166689">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5079C61B">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317BAFA6">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7B7A56C3">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239809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w:t>
            </w:r>
          </w:p>
        </w:tc>
        <w:tc>
          <w:tcPr>
            <w:tcW w:w="408" w:type="pct"/>
            <w:shd w:val="clear" w:color="auto" w:fill="auto"/>
            <w:noWrap/>
            <w:vAlign w:val="center"/>
          </w:tcPr>
          <w:p w14:paraId="249E53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21E5E7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409682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42FA1C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5A1A1F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662D5CAC">
            <w:pPr>
              <w:jc w:val="center"/>
              <w:rPr>
                <w:rFonts w:hint="eastAsia" w:ascii="宋体" w:hAnsi="宋体" w:eastAsia="宋体" w:cs="宋体"/>
                <w:i w:val="0"/>
                <w:iCs w:val="0"/>
                <w:color w:val="000000"/>
                <w:sz w:val="22"/>
                <w:szCs w:val="22"/>
                <w:u w:val="none"/>
              </w:rPr>
            </w:pPr>
          </w:p>
        </w:tc>
      </w:tr>
      <w:tr w14:paraId="2DCB8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shd w:val="clear" w:color="auto" w:fill="auto"/>
            <w:noWrap/>
            <w:vAlign w:val="center"/>
          </w:tcPr>
          <w:p w14:paraId="2DBB7E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738" w:type="pct"/>
            <w:shd w:val="clear" w:color="auto" w:fill="auto"/>
            <w:noWrap/>
            <w:vAlign w:val="center"/>
          </w:tcPr>
          <w:p w14:paraId="32945B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飞达路与阜南路</w:t>
            </w:r>
          </w:p>
        </w:tc>
        <w:tc>
          <w:tcPr>
            <w:tcW w:w="505" w:type="pct"/>
            <w:shd w:val="clear" w:color="auto" w:fill="auto"/>
            <w:noWrap/>
            <w:vAlign w:val="center"/>
          </w:tcPr>
          <w:p w14:paraId="0FBE80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120.4805613</w:t>
            </w:r>
          </w:p>
        </w:tc>
        <w:tc>
          <w:tcPr>
            <w:tcW w:w="505" w:type="pct"/>
            <w:shd w:val="clear" w:color="auto" w:fill="auto"/>
            <w:noWrap/>
            <w:vAlign w:val="center"/>
          </w:tcPr>
          <w:p w14:paraId="62CA65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33.20819565</w:t>
            </w:r>
          </w:p>
        </w:tc>
        <w:tc>
          <w:tcPr>
            <w:tcW w:w="288" w:type="pct"/>
            <w:shd w:val="clear" w:color="auto" w:fill="auto"/>
            <w:noWrap/>
            <w:vAlign w:val="center"/>
          </w:tcPr>
          <w:p w14:paraId="29AF5E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w:t>
            </w:r>
          </w:p>
        </w:tc>
        <w:tc>
          <w:tcPr>
            <w:tcW w:w="408" w:type="pct"/>
            <w:shd w:val="clear" w:color="auto" w:fill="auto"/>
            <w:noWrap/>
            <w:vAlign w:val="center"/>
          </w:tcPr>
          <w:p w14:paraId="4A76CFEE">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6C739639">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259A3C55">
            <w:pPr>
              <w:jc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69CB6E03">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4DFF93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2E0CFA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东向电警位安装</w:t>
            </w:r>
          </w:p>
        </w:tc>
      </w:tr>
      <w:tr w14:paraId="483BA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restart"/>
            <w:shd w:val="clear" w:color="auto" w:fill="auto"/>
            <w:noWrap/>
            <w:vAlign w:val="center"/>
          </w:tcPr>
          <w:p w14:paraId="3478CB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738" w:type="pct"/>
            <w:vMerge w:val="restart"/>
            <w:shd w:val="clear" w:color="auto" w:fill="auto"/>
            <w:noWrap/>
            <w:vAlign w:val="center"/>
          </w:tcPr>
          <w:p w14:paraId="1624B8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飞达路与丰华路</w:t>
            </w:r>
          </w:p>
        </w:tc>
        <w:tc>
          <w:tcPr>
            <w:tcW w:w="505" w:type="pct"/>
            <w:vMerge w:val="restart"/>
            <w:shd w:val="clear" w:color="auto" w:fill="auto"/>
            <w:noWrap/>
            <w:vAlign w:val="center"/>
          </w:tcPr>
          <w:p w14:paraId="7E03AE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120.4974871</w:t>
            </w:r>
          </w:p>
        </w:tc>
        <w:tc>
          <w:tcPr>
            <w:tcW w:w="505" w:type="pct"/>
            <w:vMerge w:val="restart"/>
            <w:shd w:val="clear" w:color="auto" w:fill="auto"/>
            <w:noWrap/>
            <w:vAlign w:val="center"/>
          </w:tcPr>
          <w:p w14:paraId="306DE9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33.20943772</w:t>
            </w:r>
          </w:p>
        </w:tc>
        <w:tc>
          <w:tcPr>
            <w:tcW w:w="288" w:type="pct"/>
            <w:shd w:val="clear" w:color="auto" w:fill="auto"/>
            <w:noWrap/>
            <w:vAlign w:val="center"/>
          </w:tcPr>
          <w:p w14:paraId="4E6D43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w:t>
            </w:r>
          </w:p>
        </w:tc>
        <w:tc>
          <w:tcPr>
            <w:tcW w:w="408" w:type="pct"/>
            <w:shd w:val="clear" w:color="auto" w:fill="auto"/>
            <w:noWrap/>
            <w:vAlign w:val="center"/>
          </w:tcPr>
          <w:p w14:paraId="113EEC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6C2A7F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4BD9D6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538648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08E40146">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54EE81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球机移位至新杆件</w:t>
            </w:r>
          </w:p>
        </w:tc>
      </w:tr>
      <w:tr w14:paraId="34A35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0901DAAA">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575D8100">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53B64CBF">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0FCC98F8">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2C00E7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w:t>
            </w:r>
          </w:p>
        </w:tc>
        <w:tc>
          <w:tcPr>
            <w:tcW w:w="408" w:type="pct"/>
            <w:shd w:val="clear" w:color="auto" w:fill="auto"/>
            <w:noWrap/>
            <w:vAlign w:val="center"/>
          </w:tcPr>
          <w:p w14:paraId="5E430D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77C8BA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4DE22D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1B3647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474324EC">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5BBEACD9">
            <w:pPr>
              <w:jc w:val="center"/>
              <w:rPr>
                <w:rFonts w:hint="eastAsia" w:ascii="宋体" w:hAnsi="宋体" w:eastAsia="宋体" w:cs="宋体"/>
                <w:i w:val="0"/>
                <w:iCs w:val="0"/>
                <w:color w:val="000000"/>
                <w:sz w:val="22"/>
                <w:szCs w:val="22"/>
                <w:u w:val="none"/>
              </w:rPr>
            </w:pPr>
          </w:p>
        </w:tc>
      </w:tr>
      <w:tr w14:paraId="00D3E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7205FE2B">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1BC090BB">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57A14F9B">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454E5719">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7208AA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w:t>
            </w:r>
          </w:p>
        </w:tc>
        <w:tc>
          <w:tcPr>
            <w:tcW w:w="408" w:type="pct"/>
            <w:shd w:val="clear" w:color="auto" w:fill="auto"/>
            <w:noWrap/>
            <w:vAlign w:val="center"/>
          </w:tcPr>
          <w:p w14:paraId="1EE716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5D8D55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17602F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0FC9D2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0607DF75">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4B6C5876">
            <w:pPr>
              <w:jc w:val="center"/>
              <w:rPr>
                <w:rFonts w:hint="eastAsia" w:ascii="宋体" w:hAnsi="宋体" w:eastAsia="宋体" w:cs="宋体"/>
                <w:i w:val="0"/>
                <w:iCs w:val="0"/>
                <w:color w:val="000000"/>
                <w:sz w:val="22"/>
                <w:szCs w:val="22"/>
                <w:u w:val="none"/>
              </w:rPr>
            </w:pPr>
          </w:p>
        </w:tc>
      </w:tr>
      <w:tr w14:paraId="1137B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2D4BB0F4">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69CA1342">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5DDFC55E">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767B5B7F">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7ADC91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w:t>
            </w:r>
          </w:p>
        </w:tc>
        <w:tc>
          <w:tcPr>
            <w:tcW w:w="408" w:type="pct"/>
            <w:shd w:val="clear" w:color="auto" w:fill="auto"/>
            <w:noWrap/>
            <w:vAlign w:val="center"/>
          </w:tcPr>
          <w:p w14:paraId="18BC0C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70D56B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17701E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3BAB55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793D6307">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1BE4D09B">
            <w:pPr>
              <w:jc w:val="center"/>
              <w:rPr>
                <w:rFonts w:hint="eastAsia" w:ascii="宋体" w:hAnsi="宋体" w:eastAsia="宋体" w:cs="宋体"/>
                <w:i w:val="0"/>
                <w:iCs w:val="0"/>
                <w:color w:val="000000"/>
                <w:sz w:val="22"/>
                <w:szCs w:val="22"/>
                <w:u w:val="none"/>
              </w:rPr>
            </w:pPr>
          </w:p>
        </w:tc>
      </w:tr>
      <w:tr w14:paraId="4B82F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restart"/>
            <w:shd w:val="clear" w:color="auto" w:fill="auto"/>
            <w:noWrap/>
            <w:vAlign w:val="center"/>
          </w:tcPr>
          <w:p w14:paraId="5F3F8F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738" w:type="pct"/>
            <w:vMerge w:val="restart"/>
            <w:shd w:val="clear" w:color="auto" w:fill="auto"/>
            <w:noWrap/>
            <w:vAlign w:val="center"/>
          </w:tcPr>
          <w:p w14:paraId="363100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健康路与丰华路</w:t>
            </w:r>
          </w:p>
        </w:tc>
        <w:tc>
          <w:tcPr>
            <w:tcW w:w="505" w:type="pct"/>
            <w:vMerge w:val="restart"/>
            <w:shd w:val="clear" w:color="auto" w:fill="auto"/>
            <w:noWrap/>
            <w:vAlign w:val="center"/>
          </w:tcPr>
          <w:p w14:paraId="5B650F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120.4982985</w:t>
            </w:r>
          </w:p>
        </w:tc>
        <w:tc>
          <w:tcPr>
            <w:tcW w:w="505" w:type="pct"/>
            <w:vMerge w:val="restart"/>
            <w:shd w:val="clear" w:color="auto" w:fill="auto"/>
            <w:noWrap/>
            <w:vAlign w:val="center"/>
          </w:tcPr>
          <w:p w14:paraId="20F7DE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33.20109689</w:t>
            </w:r>
          </w:p>
        </w:tc>
        <w:tc>
          <w:tcPr>
            <w:tcW w:w="288" w:type="pct"/>
            <w:shd w:val="clear" w:color="auto" w:fill="auto"/>
            <w:noWrap/>
            <w:vAlign w:val="center"/>
          </w:tcPr>
          <w:p w14:paraId="164192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w:t>
            </w:r>
          </w:p>
        </w:tc>
        <w:tc>
          <w:tcPr>
            <w:tcW w:w="408" w:type="pct"/>
            <w:shd w:val="clear" w:color="auto" w:fill="auto"/>
            <w:noWrap/>
            <w:vAlign w:val="center"/>
          </w:tcPr>
          <w:p w14:paraId="5C0D7255">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592679F9">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279B4C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630BB635">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7DEB47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71F9A180">
            <w:pPr>
              <w:jc w:val="center"/>
              <w:rPr>
                <w:rFonts w:hint="eastAsia" w:ascii="宋体" w:hAnsi="宋体" w:eastAsia="宋体" w:cs="宋体"/>
                <w:i w:val="0"/>
                <w:iCs w:val="0"/>
                <w:color w:val="000000"/>
                <w:sz w:val="22"/>
                <w:szCs w:val="22"/>
                <w:u w:val="none"/>
              </w:rPr>
            </w:pPr>
          </w:p>
        </w:tc>
      </w:tr>
      <w:tr w14:paraId="194F8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7F8C4D8F">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44951E6F">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2B66F280">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6D59321F">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44406E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w:t>
            </w:r>
          </w:p>
        </w:tc>
        <w:tc>
          <w:tcPr>
            <w:tcW w:w="408" w:type="pct"/>
            <w:shd w:val="clear" w:color="auto" w:fill="auto"/>
            <w:noWrap/>
            <w:vAlign w:val="center"/>
          </w:tcPr>
          <w:p w14:paraId="6C691C03">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414D8D47">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404436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46C46F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2CF08A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shd w:val="clear" w:color="auto" w:fill="auto"/>
            <w:noWrap/>
            <w:vAlign w:val="center"/>
          </w:tcPr>
          <w:p w14:paraId="1F5D129A">
            <w:pPr>
              <w:jc w:val="center"/>
              <w:rPr>
                <w:rFonts w:hint="eastAsia" w:ascii="宋体" w:hAnsi="宋体" w:eastAsia="宋体" w:cs="宋体"/>
                <w:i w:val="0"/>
                <w:iCs w:val="0"/>
                <w:color w:val="000000"/>
                <w:sz w:val="22"/>
                <w:szCs w:val="22"/>
                <w:u w:val="none"/>
              </w:rPr>
            </w:pPr>
          </w:p>
        </w:tc>
      </w:tr>
      <w:tr w14:paraId="63164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16E44B12">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04D0AFEB">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2BDCB793">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01DB7B0E">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22AD27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w:t>
            </w:r>
          </w:p>
        </w:tc>
        <w:tc>
          <w:tcPr>
            <w:tcW w:w="408" w:type="pct"/>
            <w:shd w:val="clear" w:color="auto" w:fill="auto"/>
            <w:noWrap/>
            <w:vAlign w:val="center"/>
          </w:tcPr>
          <w:p w14:paraId="7240ADC2">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0C2D4FCE">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670488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08FB93BE">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585895F9">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302DA5C7">
            <w:pPr>
              <w:jc w:val="center"/>
              <w:rPr>
                <w:rFonts w:hint="eastAsia" w:ascii="宋体" w:hAnsi="宋体" w:eastAsia="宋体" w:cs="宋体"/>
                <w:i w:val="0"/>
                <w:iCs w:val="0"/>
                <w:color w:val="000000"/>
                <w:sz w:val="22"/>
                <w:szCs w:val="22"/>
                <w:u w:val="none"/>
              </w:rPr>
            </w:pPr>
          </w:p>
        </w:tc>
      </w:tr>
      <w:tr w14:paraId="3AB6F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6B8D424E">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4CCD175A">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6F31C52A">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12B1B819">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4B35EB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w:t>
            </w:r>
          </w:p>
        </w:tc>
        <w:tc>
          <w:tcPr>
            <w:tcW w:w="408" w:type="pct"/>
            <w:shd w:val="clear" w:color="auto" w:fill="auto"/>
            <w:noWrap/>
            <w:vAlign w:val="center"/>
          </w:tcPr>
          <w:p w14:paraId="7E5281CC">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30345B4D">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648D62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48FE68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32CD1AEF">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63A6833C">
            <w:pPr>
              <w:jc w:val="center"/>
              <w:rPr>
                <w:rFonts w:hint="eastAsia" w:ascii="宋体" w:hAnsi="宋体" w:eastAsia="宋体" w:cs="宋体"/>
                <w:i w:val="0"/>
                <w:iCs w:val="0"/>
                <w:color w:val="000000"/>
                <w:sz w:val="22"/>
                <w:szCs w:val="22"/>
                <w:u w:val="none"/>
              </w:rPr>
            </w:pPr>
          </w:p>
        </w:tc>
      </w:tr>
      <w:tr w14:paraId="5D055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restart"/>
            <w:shd w:val="clear" w:color="auto" w:fill="auto"/>
            <w:noWrap/>
            <w:vAlign w:val="center"/>
          </w:tcPr>
          <w:p w14:paraId="7E2BC1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738" w:type="pct"/>
            <w:vMerge w:val="restart"/>
            <w:shd w:val="clear" w:color="auto" w:fill="auto"/>
            <w:vAlign w:val="center"/>
          </w:tcPr>
          <w:p w14:paraId="6C5C35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G204与草堰农贸市场</w:t>
            </w:r>
          </w:p>
        </w:tc>
        <w:tc>
          <w:tcPr>
            <w:tcW w:w="505" w:type="pct"/>
            <w:vMerge w:val="restart"/>
            <w:shd w:val="clear" w:color="auto" w:fill="auto"/>
            <w:noWrap/>
            <w:vAlign w:val="center"/>
          </w:tcPr>
          <w:p w14:paraId="532C53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120.3034292</w:t>
            </w:r>
          </w:p>
        </w:tc>
        <w:tc>
          <w:tcPr>
            <w:tcW w:w="505" w:type="pct"/>
            <w:vMerge w:val="restart"/>
            <w:shd w:val="clear" w:color="auto" w:fill="auto"/>
            <w:noWrap/>
            <w:vAlign w:val="center"/>
          </w:tcPr>
          <w:p w14:paraId="7443D0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32.95060377</w:t>
            </w:r>
          </w:p>
        </w:tc>
        <w:tc>
          <w:tcPr>
            <w:tcW w:w="288" w:type="pct"/>
            <w:shd w:val="clear" w:color="auto" w:fill="auto"/>
            <w:noWrap/>
            <w:vAlign w:val="center"/>
          </w:tcPr>
          <w:p w14:paraId="136007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w:t>
            </w:r>
          </w:p>
        </w:tc>
        <w:tc>
          <w:tcPr>
            <w:tcW w:w="408" w:type="pct"/>
            <w:shd w:val="clear" w:color="auto" w:fill="auto"/>
            <w:noWrap/>
            <w:vAlign w:val="center"/>
          </w:tcPr>
          <w:p w14:paraId="7E481529">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3D6F0900">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32D092D5">
            <w:pPr>
              <w:jc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746429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048A5139">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086907A5">
            <w:pPr>
              <w:jc w:val="center"/>
              <w:rPr>
                <w:rFonts w:hint="eastAsia" w:ascii="宋体" w:hAnsi="宋体" w:eastAsia="宋体" w:cs="宋体"/>
                <w:i w:val="0"/>
                <w:iCs w:val="0"/>
                <w:color w:val="000000"/>
                <w:sz w:val="22"/>
                <w:szCs w:val="22"/>
                <w:u w:val="none"/>
              </w:rPr>
            </w:pPr>
          </w:p>
        </w:tc>
      </w:tr>
      <w:tr w14:paraId="67795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317B7D66">
            <w:pPr>
              <w:jc w:val="center"/>
              <w:rPr>
                <w:rFonts w:hint="eastAsia" w:ascii="宋体" w:hAnsi="宋体" w:eastAsia="宋体" w:cs="宋体"/>
                <w:i w:val="0"/>
                <w:iCs w:val="0"/>
                <w:color w:val="000000"/>
                <w:sz w:val="22"/>
                <w:szCs w:val="22"/>
                <w:u w:val="none"/>
              </w:rPr>
            </w:pPr>
          </w:p>
        </w:tc>
        <w:tc>
          <w:tcPr>
            <w:tcW w:w="738" w:type="pct"/>
            <w:vMerge w:val="continue"/>
            <w:shd w:val="clear" w:color="auto" w:fill="auto"/>
            <w:vAlign w:val="center"/>
          </w:tcPr>
          <w:p w14:paraId="0EB7A960">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25D12E7C">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5095DE3F">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5824A9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w:t>
            </w:r>
          </w:p>
        </w:tc>
        <w:tc>
          <w:tcPr>
            <w:tcW w:w="408" w:type="pct"/>
            <w:shd w:val="clear" w:color="auto" w:fill="auto"/>
            <w:noWrap/>
            <w:vAlign w:val="center"/>
          </w:tcPr>
          <w:p w14:paraId="4A493259">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64F78825">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12A441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4B64F3A2">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7D04D43C">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71A9B017">
            <w:pPr>
              <w:jc w:val="center"/>
              <w:rPr>
                <w:rFonts w:hint="eastAsia" w:ascii="宋体" w:hAnsi="宋体" w:eastAsia="宋体" w:cs="宋体"/>
                <w:i w:val="0"/>
                <w:iCs w:val="0"/>
                <w:color w:val="000000"/>
                <w:sz w:val="22"/>
                <w:szCs w:val="22"/>
                <w:u w:val="none"/>
              </w:rPr>
            </w:pPr>
          </w:p>
        </w:tc>
      </w:tr>
      <w:tr w14:paraId="3DF70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2D279287">
            <w:pPr>
              <w:jc w:val="center"/>
              <w:rPr>
                <w:rFonts w:hint="eastAsia" w:ascii="宋体" w:hAnsi="宋体" w:eastAsia="宋体" w:cs="宋体"/>
                <w:i w:val="0"/>
                <w:iCs w:val="0"/>
                <w:color w:val="000000"/>
                <w:sz w:val="22"/>
                <w:szCs w:val="22"/>
                <w:u w:val="none"/>
              </w:rPr>
            </w:pPr>
          </w:p>
        </w:tc>
        <w:tc>
          <w:tcPr>
            <w:tcW w:w="738" w:type="pct"/>
            <w:vMerge w:val="continue"/>
            <w:shd w:val="clear" w:color="auto" w:fill="auto"/>
            <w:vAlign w:val="center"/>
          </w:tcPr>
          <w:p w14:paraId="2D304F78">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608D4696">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1DDBC0F5">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20F999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w:t>
            </w:r>
          </w:p>
        </w:tc>
        <w:tc>
          <w:tcPr>
            <w:tcW w:w="408" w:type="pct"/>
            <w:shd w:val="clear" w:color="auto" w:fill="auto"/>
            <w:noWrap/>
            <w:vAlign w:val="center"/>
          </w:tcPr>
          <w:p w14:paraId="28AF8DA9">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35E4CF47">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52D0F2FC">
            <w:pPr>
              <w:jc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23BB77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7C965934">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6C2835FF">
            <w:pPr>
              <w:jc w:val="center"/>
              <w:rPr>
                <w:rFonts w:hint="eastAsia" w:ascii="宋体" w:hAnsi="宋体" w:eastAsia="宋体" w:cs="宋体"/>
                <w:i w:val="0"/>
                <w:iCs w:val="0"/>
                <w:color w:val="000000"/>
                <w:sz w:val="22"/>
                <w:szCs w:val="22"/>
                <w:u w:val="none"/>
              </w:rPr>
            </w:pPr>
          </w:p>
        </w:tc>
      </w:tr>
      <w:tr w14:paraId="32940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41862B9C">
            <w:pPr>
              <w:jc w:val="center"/>
              <w:rPr>
                <w:rFonts w:hint="eastAsia" w:ascii="宋体" w:hAnsi="宋体" w:eastAsia="宋体" w:cs="宋体"/>
                <w:i w:val="0"/>
                <w:iCs w:val="0"/>
                <w:color w:val="000000"/>
                <w:sz w:val="22"/>
                <w:szCs w:val="22"/>
                <w:u w:val="none"/>
              </w:rPr>
            </w:pPr>
          </w:p>
        </w:tc>
        <w:tc>
          <w:tcPr>
            <w:tcW w:w="738" w:type="pct"/>
            <w:vMerge w:val="continue"/>
            <w:shd w:val="clear" w:color="auto" w:fill="auto"/>
            <w:vAlign w:val="center"/>
          </w:tcPr>
          <w:p w14:paraId="6D0B3708">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240CC367">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28C8E899">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3C71CB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w:t>
            </w:r>
          </w:p>
        </w:tc>
        <w:tc>
          <w:tcPr>
            <w:tcW w:w="408" w:type="pct"/>
            <w:shd w:val="clear" w:color="auto" w:fill="auto"/>
            <w:noWrap/>
            <w:vAlign w:val="center"/>
          </w:tcPr>
          <w:p w14:paraId="531CB839">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373F421A">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064FCA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4E2C7866">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2E79435A">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2F765AD8">
            <w:pPr>
              <w:jc w:val="center"/>
              <w:rPr>
                <w:rFonts w:hint="eastAsia" w:ascii="宋体" w:hAnsi="宋体" w:eastAsia="宋体" w:cs="宋体"/>
                <w:i w:val="0"/>
                <w:iCs w:val="0"/>
                <w:color w:val="000000"/>
                <w:sz w:val="22"/>
                <w:szCs w:val="22"/>
                <w:u w:val="none"/>
              </w:rPr>
            </w:pPr>
          </w:p>
        </w:tc>
      </w:tr>
      <w:tr w14:paraId="78182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restart"/>
            <w:shd w:val="clear" w:color="auto" w:fill="auto"/>
            <w:noWrap/>
            <w:vAlign w:val="center"/>
          </w:tcPr>
          <w:p w14:paraId="760559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738" w:type="pct"/>
            <w:vMerge w:val="restart"/>
            <w:shd w:val="clear" w:color="auto" w:fill="auto"/>
            <w:noWrap/>
            <w:vAlign w:val="center"/>
          </w:tcPr>
          <w:p w14:paraId="401D2F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G228与S331</w:t>
            </w:r>
          </w:p>
        </w:tc>
        <w:tc>
          <w:tcPr>
            <w:tcW w:w="505" w:type="pct"/>
            <w:vMerge w:val="restart"/>
            <w:shd w:val="clear" w:color="auto" w:fill="auto"/>
            <w:noWrap/>
            <w:vAlign w:val="center"/>
          </w:tcPr>
          <w:p w14:paraId="13DEFE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120.5287314</w:t>
            </w:r>
          </w:p>
        </w:tc>
        <w:tc>
          <w:tcPr>
            <w:tcW w:w="505" w:type="pct"/>
            <w:vMerge w:val="restart"/>
            <w:shd w:val="clear" w:color="auto" w:fill="auto"/>
            <w:noWrap/>
            <w:vAlign w:val="center"/>
          </w:tcPr>
          <w:p w14:paraId="75CE99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33.44791459</w:t>
            </w:r>
          </w:p>
        </w:tc>
        <w:tc>
          <w:tcPr>
            <w:tcW w:w="288" w:type="pct"/>
            <w:shd w:val="clear" w:color="auto" w:fill="auto"/>
            <w:noWrap/>
            <w:vAlign w:val="center"/>
          </w:tcPr>
          <w:p w14:paraId="03082A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w:t>
            </w:r>
          </w:p>
        </w:tc>
        <w:tc>
          <w:tcPr>
            <w:tcW w:w="408" w:type="pct"/>
            <w:shd w:val="clear" w:color="auto" w:fill="auto"/>
            <w:noWrap/>
            <w:vAlign w:val="center"/>
          </w:tcPr>
          <w:p w14:paraId="6A1C7F0A">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0EE834F7">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2E0BEC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7C8F6EE1">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36E9982D">
            <w:pPr>
              <w:jc w:val="center"/>
              <w:rPr>
                <w:rFonts w:hint="eastAsia" w:ascii="宋体" w:hAnsi="宋体" w:eastAsia="宋体" w:cs="宋体"/>
                <w:i w:val="0"/>
                <w:iCs w:val="0"/>
                <w:color w:val="000000"/>
                <w:sz w:val="22"/>
                <w:szCs w:val="22"/>
                <w:u w:val="none"/>
              </w:rPr>
            </w:pPr>
          </w:p>
        </w:tc>
        <w:tc>
          <w:tcPr>
            <w:tcW w:w="496" w:type="pct"/>
            <w:vMerge w:val="restart"/>
            <w:shd w:val="clear" w:color="auto" w:fill="auto"/>
            <w:noWrap/>
            <w:vAlign w:val="center"/>
          </w:tcPr>
          <w:p w14:paraId="148F50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南红绿灯杆件移位至绿岛上</w:t>
            </w:r>
          </w:p>
        </w:tc>
      </w:tr>
      <w:tr w14:paraId="2CEB6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1E69E1D1">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18E5FE5B">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576D59FC">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49FEA4C9">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263701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w:t>
            </w:r>
          </w:p>
        </w:tc>
        <w:tc>
          <w:tcPr>
            <w:tcW w:w="408" w:type="pct"/>
            <w:shd w:val="clear" w:color="auto" w:fill="auto"/>
            <w:noWrap/>
            <w:vAlign w:val="center"/>
          </w:tcPr>
          <w:p w14:paraId="65630E71">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19411708">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4275CE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68BABC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04C73272">
            <w:pPr>
              <w:jc w:val="center"/>
              <w:rPr>
                <w:rFonts w:hint="eastAsia" w:ascii="宋体" w:hAnsi="宋体" w:eastAsia="宋体" w:cs="宋体"/>
                <w:i w:val="0"/>
                <w:iCs w:val="0"/>
                <w:color w:val="000000"/>
                <w:sz w:val="22"/>
                <w:szCs w:val="22"/>
                <w:u w:val="none"/>
              </w:rPr>
            </w:pPr>
          </w:p>
        </w:tc>
        <w:tc>
          <w:tcPr>
            <w:tcW w:w="496" w:type="pct"/>
            <w:vMerge w:val="continue"/>
            <w:shd w:val="clear" w:color="auto" w:fill="auto"/>
            <w:noWrap/>
            <w:vAlign w:val="center"/>
          </w:tcPr>
          <w:p w14:paraId="409BFFF2">
            <w:pPr>
              <w:jc w:val="center"/>
              <w:rPr>
                <w:rFonts w:hint="eastAsia" w:ascii="宋体" w:hAnsi="宋体" w:eastAsia="宋体" w:cs="宋体"/>
                <w:i w:val="0"/>
                <w:iCs w:val="0"/>
                <w:color w:val="000000"/>
                <w:sz w:val="22"/>
                <w:szCs w:val="22"/>
                <w:u w:val="none"/>
              </w:rPr>
            </w:pPr>
          </w:p>
        </w:tc>
      </w:tr>
      <w:tr w14:paraId="114CD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restart"/>
            <w:shd w:val="clear" w:color="auto" w:fill="auto"/>
            <w:noWrap/>
            <w:vAlign w:val="center"/>
          </w:tcPr>
          <w:p w14:paraId="4AAD49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738" w:type="pct"/>
            <w:vMerge w:val="restart"/>
            <w:shd w:val="clear" w:color="auto" w:fill="auto"/>
            <w:noWrap/>
            <w:vAlign w:val="center"/>
          </w:tcPr>
          <w:p w14:paraId="3EDC6A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G204与S351</w:t>
            </w:r>
          </w:p>
        </w:tc>
        <w:tc>
          <w:tcPr>
            <w:tcW w:w="505" w:type="pct"/>
            <w:vMerge w:val="restart"/>
            <w:shd w:val="clear" w:color="auto" w:fill="auto"/>
            <w:noWrap/>
            <w:vAlign w:val="center"/>
          </w:tcPr>
          <w:p w14:paraId="708346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120.3033847</w:t>
            </w:r>
          </w:p>
        </w:tc>
        <w:tc>
          <w:tcPr>
            <w:tcW w:w="505" w:type="pct"/>
            <w:vMerge w:val="restart"/>
            <w:shd w:val="clear" w:color="auto" w:fill="auto"/>
            <w:noWrap/>
            <w:vAlign w:val="center"/>
          </w:tcPr>
          <w:p w14:paraId="7DF337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32.97130443</w:t>
            </w:r>
          </w:p>
        </w:tc>
        <w:tc>
          <w:tcPr>
            <w:tcW w:w="288" w:type="pct"/>
            <w:shd w:val="clear" w:color="auto" w:fill="auto"/>
            <w:noWrap/>
            <w:vAlign w:val="center"/>
          </w:tcPr>
          <w:p w14:paraId="2731FE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w:t>
            </w:r>
          </w:p>
        </w:tc>
        <w:tc>
          <w:tcPr>
            <w:tcW w:w="408" w:type="pct"/>
            <w:shd w:val="clear" w:color="auto" w:fill="auto"/>
            <w:noWrap/>
            <w:vAlign w:val="center"/>
          </w:tcPr>
          <w:p w14:paraId="40FD3A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07" w:type="pct"/>
            <w:shd w:val="clear" w:color="auto" w:fill="auto"/>
            <w:noWrap/>
            <w:vAlign w:val="center"/>
          </w:tcPr>
          <w:p w14:paraId="07240D94">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009D12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69" w:type="pct"/>
            <w:shd w:val="clear" w:color="auto" w:fill="auto"/>
            <w:noWrap/>
            <w:vAlign w:val="center"/>
          </w:tcPr>
          <w:p w14:paraId="337F6AA1">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645188C8">
            <w:pPr>
              <w:jc w:val="center"/>
              <w:rPr>
                <w:rFonts w:hint="eastAsia" w:ascii="宋体" w:hAnsi="宋体" w:eastAsia="宋体" w:cs="宋体"/>
                <w:i w:val="0"/>
                <w:iCs w:val="0"/>
                <w:color w:val="000000"/>
                <w:sz w:val="22"/>
                <w:szCs w:val="22"/>
                <w:u w:val="none"/>
              </w:rPr>
            </w:pPr>
          </w:p>
        </w:tc>
        <w:tc>
          <w:tcPr>
            <w:tcW w:w="496" w:type="pct"/>
            <w:vMerge w:val="restart"/>
            <w:shd w:val="clear" w:color="auto" w:fill="auto"/>
            <w:noWrap/>
            <w:vAlign w:val="center"/>
          </w:tcPr>
          <w:p w14:paraId="65A021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南北卡口装到对向红绿灯杆件上</w:t>
            </w:r>
          </w:p>
        </w:tc>
      </w:tr>
      <w:tr w14:paraId="6E37B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64BA6E27">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1F5CE56E">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1BC1A496">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38782A37">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436C74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w:t>
            </w:r>
          </w:p>
        </w:tc>
        <w:tc>
          <w:tcPr>
            <w:tcW w:w="408" w:type="pct"/>
            <w:shd w:val="clear" w:color="auto" w:fill="auto"/>
            <w:noWrap/>
            <w:vAlign w:val="center"/>
          </w:tcPr>
          <w:p w14:paraId="78386C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07" w:type="pct"/>
            <w:shd w:val="clear" w:color="auto" w:fill="auto"/>
            <w:noWrap/>
            <w:vAlign w:val="center"/>
          </w:tcPr>
          <w:p w14:paraId="601F442E">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301A0C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2A663B32">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5A749B5E">
            <w:pPr>
              <w:jc w:val="center"/>
              <w:rPr>
                <w:rFonts w:hint="eastAsia" w:ascii="宋体" w:hAnsi="宋体" w:eastAsia="宋体" w:cs="宋体"/>
                <w:i w:val="0"/>
                <w:iCs w:val="0"/>
                <w:color w:val="000000"/>
                <w:sz w:val="22"/>
                <w:szCs w:val="22"/>
                <w:u w:val="none"/>
              </w:rPr>
            </w:pPr>
          </w:p>
        </w:tc>
        <w:tc>
          <w:tcPr>
            <w:tcW w:w="496" w:type="pct"/>
            <w:vMerge w:val="continue"/>
            <w:shd w:val="clear" w:color="auto" w:fill="auto"/>
            <w:noWrap/>
            <w:vAlign w:val="center"/>
          </w:tcPr>
          <w:p w14:paraId="5CFAE8DD">
            <w:pPr>
              <w:jc w:val="center"/>
              <w:rPr>
                <w:rFonts w:hint="eastAsia" w:ascii="宋体" w:hAnsi="宋体" w:eastAsia="宋体" w:cs="宋体"/>
                <w:i w:val="0"/>
                <w:iCs w:val="0"/>
                <w:color w:val="000000"/>
                <w:sz w:val="22"/>
                <w:szCs w:val="22"/>
                <w:u w:val="none"/>
              </w:rPr>
            </w:pPr>
          </w:p>
        </w:tc>
      </w:tr>
      <w:tr w14:paraId="1BE59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3C9814BC">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1B64AA5F">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787863F8">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363AA1E4">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0A93C8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w:t>
            </w:r>
          </w:p>
        </w:tc>
        <w:tc>
          <w:tcPr>
            <w:tcW w:w="408" w:type="pct"/>
            <w:shd w:val="clear" w:color="auto" w:fill="auto"/>
            <w:noWrap/>
            <w:vAlign w:val="center"/>
          </w:tcPr>
          <w:p w14:paraId="7BD2DC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7" w:type="pct"/>
            <w:shd w:val="clear" w:color="auto" w:fill="auto"/>
            <w:noWrap/>
            <w:vAlign w:val="center"/>
          </w:tcPr>
          <w:p w14:paraId="17A0D4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73" w:type="pct"/>
            <w:shd w:val="clear" w:color="auto" w:fill="auto"/>
            <w:noWrap/>
            <w:vAlign w:val="center"/>
          </w:tcPr>
          <w:p w14:paraId="1FAD2F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214561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296BFE1E">
            <w:pPr>
              <w:jc w:val="center"/>
              <w:rPr>
                <w:rFonts w:hint="eastAsia" w:ascii="宋体" w:hAnsi="宋体" w:eastAsia="宋体" w:cs="宋体"/>
                <w:i w:val="0"/>
                <w:iCs w:val="0"/>
                <w:color w:val="000000"/>
                <w:sz w:val="22"/>
                <w:szCs w:val="22"/>
                <w:u w:val="none"/>
              </w:rPr>
            </w:pPr>
          </w:p>
        </w:tc>
        <w:tc>
          <w:tcPr>
            <w:tcW w:w="496" w:type="pct"/>
            <w:vMerge w:val="continue"/>
            <w:shd w:val="clear" w:color="auto" w:fill="auto"/>
            <w:noWrap/>
            <w:vAlign w:val="center"/>
          </w:tcPr>
          <w:p w14:paraId="29D13657">
            <w:pPr>
              <w:jc w:val="center"/>
              <w:rPr>
                <w:rFonts w:hint="eastAsia" w:ascii="宋体" w:hAnsi="宋体" w:eastAsia="宋体" w:cs="宋体"/>
                <w:i w:val="0"/>
                <w:iCs w:val="0"/>
                <w:color w:val="000000"/>
                <w:sz w:val="22"/>
                <w:szCs w:val="22"/>
                <w:u w:val="none"/>
              </w:rPr>
            </w:pPr>
          </w:p>
        </w:tc>
      </w:tr>
      <w:tr w14:paraId="3C088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restart"/>
            <w:shd w:val="clear" w:color="auto" w:fill="auto"/>
            <w:noWrap/>
            <w:vAlign w:val="center"/>
          </w:tcPr>
          <w:p w14:paraId="54BC54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738" w:type="pct"/>
            <w:vMerge w:val="restart"/>
            <w:shd w:val="clear" w:color="auto" w:fill="auto"/>
            <w:noWrap/>
            <w:vAlign w:val="center"/>
          </w:tcPr>
          <w:p w14:paraId="290CCF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新S226与351省道</w:t>
            </w:r>
          </w:p>
        </w:tc>
        <w:tc>
          <w:tcPr>
            <w:tcW w:w="505" w:type="pct"/>
            <w:vMerge w:val="restart"/>
            <w:shd w:val="clear" w:color="auto" w:fill="auto"/>
            <w:noWrap/>
            <w:vAlign w:val="center"/>
          </w:tcPr>
          <w:p w14:paraId="3484F0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120.5261993</w:t>
            </w:r>
          </w:p>
        </w:tc>
        <w:tc>
          <w:tcPr>
            <w:tcW w:w="505" w:type="pct"/>
            <w:vMerge w:val="restart"/>
            <w:shd w:val="clear" w:color="auto" w:fill="auto"/>
            <w:noWrap/>
            <w:vAlign w:val="center"/>
          </w:tcPr>
          <w:p w14:paraId="56551B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33.00779977</w:t>
            </w:r>
          </w:p>
        </w:tc>
        <w:tc>
          <w:tcPr>
            <w:tcW w:w="288" w:type="pct"/>
            <w:shd w:val="clear" w:color="auto" w:fill="auto"/>
            <w:noWrap/>
            <w:vAlign w:val="center"/>
          </w:tcPr>
          <w:p w14:paraId="629EF7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w:t>
            </w:r>
          </w:p>
        </w:tc>
        <w:tc>
          <w:tcPr>
            <w:tcW w:w="408" w:type="pct"/>
            <w:shd w:val="clear" w:color="auto" w:fill="auto"/>
            <w:noWrap/>
            <w:vAlign w:val="center"/>
          </w:tcPr>
          <w:p w14:paraId="17130C43">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5E86F0B5">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4FA106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31154E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769AE1E2">
            <w:pPr>
              <w:jc w:val="center"/>
              <w:rPr>
                <w:rFonts w:hint="eastAsia" w:ascii="宋体" w:hAnsi="宋体" w:eastAsia="宋体" w:cs="宋体"/>
                <w:i w:val="0"/>
                <w:iCs w:val="0"/>
                <w:color w:val="000000"/>
                <w:sz w:val="22"/>
                <w:szCs w:val="22"/>
                <w:u w:val="none"/>
              </w:rPr>
            </w:pPr>
          </w:p>
        </w:tc>
        <w:tc>
          <w:tcPr>
            <w:tcW w:w="496" w:type="pct"/>
            <w:vMerge w:val="restart"/>
            <w:shd w:val="clear" w:color="auto" w:fill="auto"/>
            <w:noWrap/>
            <w:vAlign w:val="center"/>
          </w:tcPr>
          <w:p w14:paraId="59A7E0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南北卡口装到对向红绿灯杆件上</w:t>
            </w:r>
          </w:p>
        </w:tc>
      </w:tr>
      <w:tr w14:paraId="63259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4F1A1DF4">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2FED1C3B">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5A7CCD95">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5CDFE910">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7766B0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w:t>
            </w:r>
          </w:p>
        </w:tc>
        <w:tc>
          <w:tcPr>
            <w:tcW w:w="408" w:type="pct"/>
            <w:shd w:val="clear" w:color="auto" w:fill="auto"/>
            <w:noWrap/>
            <w:vAlign w:val="center"/>
          </w:tcPr>
          <w:p w14:paraId="40157F67">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62C1F730">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3CE969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60BE52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5B1B0690">
            <w:pPr>
              <w:jc w:val="center"/>
              <w:rPr>
                <w:rFonts w:hint="eastAsia" w:ascii="宋体" w:hAnsi="宋体" w:eastAsia="宋体" w:cs="宋体"/>
                <w:i w:val="0"/>
                <w:iCs w:val="0"/>
                <w:color w:val="000000"/>
                <w:sz w:val="22"/>
                <w:szCs w:val="22"/>
                <w:u w:val="none"/>
              </w:rPr>
            </w:pPr>
          </w:p>
        </w:tc>
        <w:tc>
          <w:tcPr>
            <w:tcW w:w="496" w:type="pct"/>
            <w:vMerge w:val="continue"/>
            <w:shd w:val="clear" w:color="auto" w:fill="auto"/>
            <w:noWrap/>
            <w:vAlign w:val="center"/>
          </w:tcPr>
          <w:p w14:paraId="1AE61269">
            <w:pPr>
              <w:jc w:val="center"/>
              <w:rPr>
                <w:rFonts w:hint="eastAsia" w:ascii="宋体" w:hAnsi="宋体" w:eastAsia="宋体" w:cs="宋体"/>
                <w:i w:val="0"/>
                <w:iCs w:val="0"/>
                <w:color w:val="000000"/>
                <w:sz w:val="22"/>
                <w:szCs w:val="22"/>
                <w:u w:val="none"/>
              </w:rPr>
            </w:pPr>
          </w:p>
        </w:tc>
      </w:tr>
      <w:tr w14:paraId="1F64D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vMerge w:val="restart"/>
            <w:shd w:val="clear" w:color="auto" w:fill="auto"/>
            <w:noWrap/>
            <w:vAlign w:val="center"/>
          </w:tcPr>
          <w:p w14:paraId="014723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738" w:type="pct"/>
            <w:vMerge w:val="restart"/>
            <w:shd w:val="clear" w:color="auto" w:fill="auto"/>
            <w:noWrap/>
            <w:vAlign w:val="center"/>
          </w:tcPr>
          <w:p w14:paraId="29BFAD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老S226与351省道</w:t>
            </w:r>
          </w:p>
        </w:tc>
        <w:tc>
          <w:tcPr>
            <w:tcW w:w="505" w:type="pct"/>
            <w:vMerge w:val="restart"/>
            <w:shd w:val="clear" w:color="auto" w:fill="auto"/>
            <w:noWrap/>
            <w:vAlign w:val="center"/>
          </w:tcPr>
          <w:p w14:paraId="3EB8C7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120.5874181</w:t>
            </w:r>
          </w:p>
        </w:tc>
        <w:tc>
          <w:tcPr>
            <w:tcW w:w="505" w:type="pct"/>
            <w:vMerge w:val="restart"/>
            <w:shd w:val="clear" w:color="auto" w:fill="auto"/>
            <w:noWrap/>
            <w:vAlign w:val="center"/>
          </w:tcPr>
          <w:p w14:paraId="1B0081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33.02940831</w:t>
            </w:r>
          </w:p>
        </w:tc>
        <w:tc>
          <w:tcPr>
            <w:tcW w:w="288" w:type="pct"/>
            <w:shd w:val="clear" w:color="auto" w:fill="auto"/>
            <w:noWrap/>
            <w:vAlign w:val="center"/>
          </w:tcPr>
          <w:p w14:paraId="0CD6E5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w:t>
            </w:r>
          </w:p>
        </w:tc>
        <w:tc>
          <w:tcPr>
            <w:tcW w:w="408" w:type="pct"/>
            <w:shd w:val="clear" w:color="auto" w:fill="auto"/>
            <w:noWrap/>
            <w:vAlign w:val="center"/>
          </w:tcPr>
          <w:p w14:paraId="3BEC1061">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721D6BC9">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709A31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111629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60A04712">
            <w:pPr>
              <w:jc w:val="center"/>
              <w:rPr>
                <w:rFonts w:hint="eastAsia" w:ascii="宋体" w:hAnsi="宋体" w:eastAsia="宋体" w:cs="宋体"/>
                <w:i w:val="0"/>
                <w:iCs w:val="0"/>
                <w:color w:val="000000"/>
                <w:sz w:val="22"/>
                <w:szCs w:val="22"/>
                <w:u w:val="none"/>
              </w:rPr>
            </w:pPr>
          </w:p>
        </w:tc>
        <w:tc>
          <w:tcPr>
            <w:tcW w:w="496" w:type="pct"/>
            <w:vMerge w:val="restart"/>
            <w:shd w:val="clear" w:color="auto" w:fill="auto"/>
            <w:noWrap/>
            <w:vAlign w:val="center"/>
          </w:tcPr>
          <w:p w14:paraId="139627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南北卡口装到对向红绿灯杆件上</w:t>
            </w:r>
          </w:p>
        </w:tc>
      </w:tr>
      <w:tr w14:paraId="52B6E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8" w:type="pct"/>
            <w:vMerge w:val="continue"/>
            <w:shd w:val="clear" w:color="auto" w:fill="auto"/>
            <w:noWrap/>
            <w:vAlign w:val="center"/>
          </w:tcPr>
          <w:p w14:paraId="2B0BC1DA">
            <w:pPr>
              <w:jc w:val="center"/>
              <w:rPr>
                <w:rFonts w:hint="eastAsia" w:ascii="宋体" w:hAnsi="宋体" w:eastAsia="宋体" w:cs="宋体"/>
                <w:i w:val="0"/>
                <w:iCs w:val="0"/>
                <w:color w:val="000000"/>
                <w:sz w:val="22"/>
                <w:szCs w:val="22"/>
                <w:u w:val="none"/>
              </w:rPr>
            </w:pPr>
          </w:p>
        </w:tc>
        <w:tc>
          <w:tcPr>
            <w:tcW w:w="738" w:type="pct"/>
            <w:vMerge w:val="continue"/>
            <w:shd w:val="clear" w:color="auto" w:fill="auto"/>
            <w:noWrap/>
            <w:vAlign w:val="center"/>
          </w:tcPr>
          <w:p w14:paraId="5E7CEA08">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4914E841">
            <w:pPr>
              <w:jc w:val="center"/>
              <w:rPr>
                <w:rFonts w:hint="eastAsia" w:ascii="宋体" w:hAnsi="宋体" w:eastAsia="宋体" w:cs="宋体"/>
                <w:i w:val="0"/>
                <w:iCs w:val="0"/>
                <w:color w:val="000000"/>
                <w:sz w:val="22"/>
                <w:szCs w:val="22"/>
                <w:u w:val="none"/>
              </w:rPr>
            </w:pPr>
          </w:p>
        </w:tc>
        <w:tc>
          <w:tcPr>
            <w:tcW w:w="505" w:type="pct"/>
            <w:vMerge w:val="continue"/>
            <w:shd w:val="clear" w:color="auto" w:fill="auto"/>
            <w:noWrap/>
            <w:vAlign w:val="center"/>
          </w:tcPr>
          <w:p w14:paraId="1CCA911C">
            <w:pPr>
              <w:jc w:val="center"/>
              <w:rPr>
                <w:rFonts w:hint="eastAsia" w:ascii="宋体" w:hAnsi="宋体" w:eastAsia="宋体" w:cs="宋体"/>
                <w:i w:val="0"/>
                <w:iCs w:val="0"/>
                <w:color w:val="000000"/>
                <w:sz w:val="22"/>
                <w:szCs w:val="22"/>
                <w:u w:val="none"/>
              </w:rPr>
            </w:pPr>
          </w:p>
        </w:tc>
        <w:tc>
          <w:tcPr>
            <w:tcW w:w="288" w:type="pct"/>
            <w:shd w:val="clear" w:color="auto" w:fill="auto"/>
            <w:noWrap/>
            <w:vAlign w:val="center"/>
          </w:tcPr>
          <w:p w14:paraId="394A24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w:t>
            </w:r>
          </w:p>
        </w:tc>
        <w:tc>
          <w:tcPr>
            <w:tcW w:w="408" w:type="pct"/>
            <w:shd w:val="clear" w:color="auto" w:fill="auto"/>
            <w:noWrap/>
            <w:vAlign w:val="center"/>
          </w:tcPr>
          <w:p w14:paraId="22844618">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7C07C796">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2C5697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9" w:type="pct"/>
            <w:shd w:val="clear" w:color="auto" w:fill="auto"/>
            <w:noWrap/>
            <w:vAlign w:val="center"/>
          </w:tcPr>
          <w:p w14:paraId="3EF994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6" w:type="pct"/>
            <w:shd w:val="clear" w:color="auto" w:fill="auto"/>
            <w:noWrap/>
            <w:vAlign w:val="center"/>
          </w:tcPr>
          <w:p w14:paraId="29EE6467">
            <w:pPr>
              <w:jc w:val="center"/>
              <w:rPr>
                <w:rFonts w:hint="eastAsia" w:ascii="宋体" w:hAnsi="宋体" w:eastAsia="宋体" w:cs="宋体"/>
                <w:i w:val="0"/>
                <w:iCs w:val="0"/>
                <w:color w:val="000000"/>
                <w:sz w:val="22"/>
                <w:szCs w:val="22"/>
                <w:u w:val="none"/>
              </w:rPr>
            </w:pPr>
          </w:p>
        </w:tc>
        <w:tc>
          <w:tcPr>
            <w:tcW w:w="496" w:type="pct"/>
            <w:vMerge w:val="continue"/>
            <w:shd w:val="clear" w:color="auto" w:fill="auto"/>
            <w:noWrap/>
            <w:vAlign w:val="center"/>
          </w:tcPr>
          <w:p w14:paraId="054E3385">
            <w:pPr>
              <w:jc w:val="center"/>
              <w:rPr>
                <w:rFonts w:hint="eastAsia" w:ascii="宋体" w:hAnsi="宋体" w:eastAsia="宋体" w:cs="宋体"/>
                <w:i w:val="0"/>
                <w:iCs w:val="0"/>
                <w:color w:val="000000"/>
                <w:sz w:val="22"/>
                <w:szCs w:val="22"/>
                <w:u w:val="none"/>
              </w:rPr>
            </w:pPr>
          </w:p>
        </w:tc>
      </w:tr>
      <w:tr w14:paraId="4C968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shd w:val="clear" w:color="auto" w:fill="auto"/>
            <w:noWrap/>
            <w:vAlign w:val="center"/>
          </w:tcPr>
          <w:p w14:paraId="6A3E0D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738" w:type="pct"/>
            <w:shd w:val="clear" w:color="auto" w:fill="auto"/>
            <w:noWrap/>
            <w:vAlign w:val="center"/>
          </w:tcPr>
          <w:p w14:paraId="3FDB61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中交美庐城北门</w:t>
            </w:r>
          </w:p>
        </w:tc>
        <w:tc>
          <w:tcPr>
            <w:tcW w:w="505" w:type="pct"/>
            <w:shd w:val="clear" w:color="auto" w:fill="auto"/>
            <w:noWrap/>
            <w:vAlign w:val="center"/>
          </w:tcPr>
          <w:p w14:paraId="68EA4E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120.4614358</w:t>
            </w:r>
          </w:p>
        </w:tc>
        <w:tc>
          <w:tcPr>
            <w:tcW w:w="505" w:type="pct"/>
            <w:shd w:val="clear" w:color="auto" w:fill="auto"/>
            <w:noWrap/>
            <w:vAlign w:val="center"/>
          </w:tcPr>
          <w:p w14:paraId="0EC62F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33.19514215</w:t>
            </w:r>
          </w:p>
        </w:tc>
        <w:tc>
          <w:tcPr>
            <w:tcW w:w="288" w:type="pct"/>
            <w:shd w:val="clear" w:color="auto" w:fill="auto"/>
            <w:noWrap/>
            <w:vAlign w:val="center"/>
          </w:tcPr>
          <w:p w14:paraId="249D4133">
            <w:pPr>
              <w:jc w:val="center"/>
              <w:rPr>
                <w:rFonts w:hint="eastAsia" w:ascii="宋体" w:hAnsi="宋体" w:eastAsia="宋体" w:cs="宋体"/>
                <w:i w:val="0"/>
                <w:iCs w:val="0"/>
                <w:color w:val="000000"/>
                <w:sz w:val="22"/>
                <w:szCs w:val="22"/>
                <w:u w:val="none"/>
              </w:rPr>
            </w:pPr>
          </w:p>
        </w:tc>
        <w:tc>
          <w:tcPr>
            <w:tcW w:w="408" w:type="pct"/>
            <w:shd w:val="clear" w:color="auto" w:fill="auto"/>
            <w:noWrap/>
            <w:vAlign w:val="center"/>
          </w:tcPr>
          <w:p w14:paraId="1F6F4599">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4FE59B9D">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1BD5D1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7B7D5445">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485C983F">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2CED7D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不礼让行人</w:t>
            </w:r>
          </w:p>
        </w:tc>
      </w:tr>
      <w:tr w14:paraId="35E06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shd w:val="clear" w:color="auto" w:fill="auto"/>
            <w:noWrap/>
            <w:vAlign w:val="center"/>
          </w:tcPr>
          <w:p w14:paraId="289D07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738" w:type="pct"/>
            <w:shd w:val="clear" w:color="auto" w:fill="auto"/>
            <w:noWrap/>
            <w:vAlign w:val="center"/>
          </w:tcPr>
          <w:p w14:paraId="579AC1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安置小区门口</w:t>
            </w:r>
          </w:p>
        </w:tc>
        <w:tc>
          <w:tcPr>
            <w:tcW w:w="505" w:type="pct"/>
            <w:shd w:val="clear" w:color="auto" w:fill="auto"/>
            <w:noWrap/>
            <w:vAlign w:val="center"/>
          </w:tcPr>
          <w:p w14:paraId="034B02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120.4473397</w:t>
            </w:r>
          </w:p>
        </w:tc>
        <w:tc>
          <w:tcPr>
            <w:tcW w:w="505" w:type="pct"/>
            <w:shd w:val="clear" w:color="auto" w:fill="auto"/>
            <w:noWrap/>
            <w:vAlign w:val="center"/>
          </w:tcPr>
          <w:p w14:paraId="2B708F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33.20239999</w:t>
            </w:r>
          </w:p>
        </w:tc>
        <w:tc>
          <w:tcPr>
            <w:tcW w:w="288" w:type="pct"/>
            <w:shd w:val="clear" w:color="auto" w:fill="auto"/>
            <w:noWrap/>
            <w:vAlign w:val="center"/>
          </w:tcPr>
          <w:p w14:paraId="198323AA">
            <w:pPr>
              <w:jc w:val="center"/>
              <w:rPr>
                <w:rFonts w:hint="eastAsia" w:ascii="宋体" w:hAnsi="宋体" w:eastAsia="宋体" w:cs="宋体"/>
                <w:i w:val="0"/>
                <w:iCs w:val="0"/>
                <w:color w:val="000000"/>
                <w:sz w:val="22"/>
                <w:szCs w:val="22"/>
                <w:u w:val="none"/>
              </w:rPr>
            </w:pPr>
          </w:p>
        </w:tc>
        <w:tc>
          <w:tcPr>
            <w:tcW w:w="408" w:type="pct"/>
            <w:shd w:val="clear" w:color="auto" w:fill="auto"/>
            <w:noWrap/>
            <w:vAlign w:val="center"/>
          </w:tcPr>
          <w:p w14:paraId="6E41460B">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36806564">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63D68E70">
            <w:pPr>
              <w:jc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2FBDF170">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30C92000">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20D411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更换西向两台卡口镜头</w:t>
            </w:r>
          </w:p>
        </w:tc>
      </w:tr>
      <w:tr w14:paraId="45A29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shd w:val="clear" w:color="auto" w:fill="auto"/>
            <w:noWrap/>
            <w:vAlign w:val="center"/>
          </w:tcPr>
          <w:p w14:paraId="3B06D7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738" w:type="pct"/>
            <w:shd w:val="clear" w:color="auto" w:fill="auto"/>
            <w:noWrap/>
            <w:vAlign w:val="center"/>
          </w:tcPr>
          <w:p w14:paraId="02BFEA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东坝头农场</w:t>
            </w:r>
          </w:p>
        </w:tc>
        <w:tc>
          <w:tcPr>
            <w:tcW w:w="505" w:type="pct"/>
            <w:shd w:val="clear" w:color="auto" w:fill="auto"/>
            <w:noWrap/>
            <w:vAlign w:val="center"/>
          </w:tcPr>
          <w:p w14:paraId="463A83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120.6511331</w:t>
            </w:r>
          </w:p>
        </w:tc>
        <w:tc>
          <w:tcPr>
            <w:tcW w:w="505" w:type="pct"/>
            <w:shd w:val="clear" w:color="auto" w:fill="auto"/>
            <w:noWrap/>
            <w:vAlign w:val="center"/>
          </w:tcPr>
          <w:p w14:paraId="503670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33.19302134</w:t>
            </w:r>
          </w:p>
        </w:tc>
        <w:tc>
          <w:tcPr>
            <w:tcW w:w="288" w:type="pct"/>
            <w:shd w:val="clear" w:color="auto" w:fill="auto"/>
            <w:noWrap/>
            <w:vAlign w:val="center"/>
          </w:tcPr>
          <w:p w14:paraId="5D737FD8">
            <w:pPr>
              <w:jc w:val="center"/>
              <w:rPr>
                <w:rFonts w:hint="eastAsia" w:ascii="宋体" w:hAnsi="宋体" w:eastAsia="宋体" w:cs="宋体"/>
                <w:i w:val="0"/>
                <w:iCs w:val="0"/>
                <w:color w:val="000000"/>
                <w:sz w:val="22"/>
                <w:szCs w:val="22"/>
                <w:u w:val="none"/>
              </w:rPr>
            </w:pPr>
          </w:p>
        </w:tc>
        <w:tc>
          <w:tcPr>
            <w:tcW w:w="408" w:type="pct"/>
            <w:shd w:val="clear" w:color="auto" w:fill="auto"/>
            <w:noWrap/>
            <w:vAlign w:val="center"/>
          </w:tcPr>
          <w:p w14:paraId="14DE02DA">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5B12BACD">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7574ADFE">
            <w:pPr>
              <w:jc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76338786">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521E2685">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3135A166">
            <w:pPr>
              <w:jc w:val="center"/>
              <w:rPr>
                <w:rFonts w:hint="eastAsia" w:ascii="宋体" w:hAnsi="宋体" w:eastAsia="宋体" w:cs="宋体"/>
                <w:i w:val="0"/>
                <w:iCs w:val="0"/>
                <w:color w:val="000000"/>
                <w:sz w:val="22"/>
                <w:szCs w:val="22"/>
                <w:u w:val="none"/>
                <w:lang w:val="en-US" w:eastAsia="zh-CN"/>
              </w:rPr>
            </w:pPr>
          </w:p>
        </w:tc>
      </w:tr>
      <w:tr w14:paraId="07152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88" w:type="pct"/>
            <w:shd w:val="clear" w:color="auto" w:fill="auto"/>
            <w:noWrap/>
            <w:vAlign w:val="center"/>
          </w:tcPr>
          <w:p w14:paraId="7927CC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738" w:type="pct"/>
            <w:shd w:val="clear" w:color="auto" w:fill="auto"/>
            <w:noWrap/>
            <w:vAlign w:val="center"/>
          </w:tcPr>
          <w:p w14:paraId="225D86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G204-白民线</w:t>
            </w:r>
          </w:p>
        </w:tc>
        <w:tc>
          <w:tcPr>
            <w:tcW w:w="505" w:type="pct"/>
            <w:shd w:val="clear" w:color="auto" w:fill="auto"/>
            <w:noWrap/>
            <w:vAlign w:val="center"/>
          </w:tcPr>
          <w:p w14:paraId="243E1A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120.311785</w:t>
            </w:r>
          </w:p>
        </w:tc>
        <w:tc>
          <w:tcPr>
            <w:tcW w:w="505" w:type="pct"/>
            <w:shd w:val="clear" w:color="auto" w:fill="auto"/>
            <w:noWrap/>
            <w:vAlign w:val="center"/>
          </w:tcPr>
          <w:p w14:paraId="141F1A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33.03492554</w:t>
            </w:r>
          </w:p>
        </w:tc>
        <w:tc>
          <w:tcPr>
            <w:tcW w:w="288" w:type="pct"/>
            <w:shd w:val="clear" w:color="auto" w:fill="auto"/>
            <w:noWrap/>
            <w:vAlign w:val="center"/>
          </w:tcPr>
          <w:p w14:paraId="0C0F6F3B">
            <w:pPr>
              <w:jc w:val="center"/>
              <w:rPr>
                <w:rFonts w:hint="eastAsia" w:ascii="宋体" w:hAnsi="宋体" w:eastAsia="宋体" w:cs="宋体"/>
                <w:i w:val="0"/>
                <w:iCs w:val="0"/>
                <w:color w:val="000000"/>
                <w:sz w:val="22"/>
                <w:szCs w:val="22"/>
                <w:u w:val="none"/>
              </w:rPr>
            </w:pPr>
          </w:p>
        </w:tc>
        <w:tc>
          <w:tcPr>
            <w:tcW w:w="408" w:type="pct"/>
            <w:shd w:val="clear" w:color="auto" w:fill="auto"/>
            <w:noWrap/>
            <w:vAlign w:val="center"/>
          </w:tcPr>
          <w:p w14:paraId="32BC5E7F">
            <w:pPr>
              <w:jc w:val="center"/>
              <w:rPr>
                <w:rFonts w:hint="eastAsia" w:ascii="宋体" w:hAnsi="宋体" w:eastAsia="宋体" w:cs="宋体"/>
                <w:i w:val="0"/>
                <w:iCs w:val="0"/>
                <w:color w:val="000000"/>
                <w:sz w:val="22"/>
                <w:szCs w:val="22"/>
                <w:u w:val="none"/>
              </w:rPr>
            </w:pPr>
          </w:p>
        </w:tc>
        <w:tc>
          <w:tcPr>
            <w:tcW w:w="407" w:type="pct"/>
            <w:shd w:val="clear" w:color="auto" w:fill="auto"/>
            <w:noWrap/>
            <w:vAlign w:val="center"/>
          </w:tcPr>
          <w:p w14:paraId="74D703EC">
            <w:pPr>
              <w:jc w:val="center"/>
              <w:rPr>
                <w:rFonts w:hint="eastAsia" w:ascii="宋体" w:hAnsi="宋体" w:eastAsia="宋体" w:cs="宋体"/>
                <w:i w:val="0"/>
                <w:iCs w:val="0"/>
                <w:color w:val="000000"/>
                <w:sz w:val="22"/>
                <w:szCs w:val="22"/>
                <w:u w:val="none"/>
              </w:rPr>
            </w:pPr>
          </w:p>
        </w:tc>
        <w:tc>
          <w:tcPr>
            <w:tcW w:w="473" w:type="pct"/>
            <w:shd w:val="clear" w:color="auto" w:fill="auto"/>
            <w:noWrap/>
            <w:vAlign w:val="center"/>
          </w:tcPr>
          <w:p w14:paraId="2378DE63">
            <w:pPr>
              <w:jc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0DCFCBA8">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62382B2F">
            <w:pPr>
              <w:jc w:val="center"/>
              <w:rPr>
                <w:rFonts w:hint="eastAsia" w:ascii="宋体" w:hAnsi="宋体" w:eastAsia="宋体" w:cs="宋体"/>
                <w:i w:val="0"/>
                <w:iCs w:val="0"/>
                <w:color w:val="000000"/>
                <w:sz w:val="22"/>
                <w:szCs w:val="22"/>
                <w:u w:val="none"/>
              </w:rPr>
            </w:pPr>
          </w:p>
        </w:tc>
        <w:tc>
          <w:tcPr>
            <w:tcW w:w="496" w:type="pct"/>
            <w:shd w:val="clear" w:color="auto" w:fill="auto"/>
            <w:noWrap/>
            <w:vAlign w:val="center"/>
          </w:tcPr>
          <w:p w14:paraId="5CBB164B">
            <w:pPr>
              <w:jc w:val="center"/>
              <w:rPr>
                <w:rFonts w:hint="eastAsia" w:ascii="宋体" w:hAnsi="宋体" w:eastAsia="宋体" w:cs="宋体"/>
                <w:i w:val="0"/>
                <w:iCs w:val="0"/>
                <w:color w:val="000000"/>
                <w:sz w:val="22"/>
                <w:szCs w:val="22"/>
                <w:u w:val="none"/>
                <w:lang w:val="en-US" w:eastAsia="zh-CN"/>
              </w:rPr>
            </w:pPr>
          </w:p>
        </w:tc>
      </w:tr>
      <w:tr w14:paraId="46916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88" w:type="pct"/>
            <w:shd w:val="clear" w:color="auto" w:fill="auto"/>
            <w:noWrap/>
            <w:vAlign w:val="center"/>
          </w:tcPr>
          <w:p w14:paraId="75A2C6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738" w:type="pct"/>
            <w:shd w:val="clear" w:color="auto" w:fill="auto"/>
            <w:noWrap/>
            <w:vAlign w:val="center"/>
          </w:tcPr>
          <w:p w14:paraId="15E5A5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国土局门口</w:t>
            </w:r>
          </w:p>
        </w:tc>
        <w:tc>
          <w:tcPr>
            <w:tcW w:w="505" w:type="pct"/>
            <w:shd w:val="clear" w:color="auto" w:fill="auto"/>
            <w:noWrap/>
            <w:vAlign w:val="center"/>
          </w:tcPr>
          <w:p w14:paraId="50C88B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120.4524888</w:t>
            </w:r>
          </w:p>
        </w:tc>
        <w:tc>
          <w:tcPr>
            <w:tcW w:w="505" w:type="pct"/>
            <w:shd w:val="clear" w:color="auto" w:fill="auto"/>
            <w:noWrap/>
            <w:vAlign w:val="center"/>
          </w:tcPr>
          <w:p w14:paraId="2FB50E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33.20260401</w:t>
            </w:r>
          </w:p>
        </w:tc>
        <w:tc>
          <w:tcPr>
            <w:tcW w:w="288" w:type="pct"/>
            <w:shd w:val="clear" w:color="auto" w:fill="auto"/>
            <w:noWrap/>
            <w:vAlign w:val="center"/>
          </w:tcPr>
          <w:p w14:paraId="54DDB79F">
            <w:pPr>
              <w:jc w:val="center"/>
              <w:rPr>
                <w:rFonts w:hint="eastAsia" w:ascii="宋体" w:hAnsi="宋体" w:eastAsia="宋体" w:cs="宋体"/>
                <w:i w:val="0"/>
                <w:iCs w:val="0"/>
                <w:color w:val="000000"/>
                <w:sz w:val="22"/>
                <w:szCs w:val="22"/>
                <w:u w:val="none"/>
              </w:rPr>
            </w:pPr>
          </w:p>
        </w:tc>
        <w:tc>
          <w:tcPr>
            <w:tcW w:w="408" w:type="pct"/>
            <w:shd w:val="clear" w:color="auto" w:fill="auto"/>
            <w:noWrap/>
            <w:vAlign w:val="center"/>
          </w:tcPr>
          <w:p w14:paraId="5B1698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07" w:type="pct"/>
            <w:shd w:val="clear" w:color="auto" w:fill="auto"/>
            <w:noWrap/>
            <w:vAlign w:val="center"/>
          </w:tcPr>
          <w:p w14:paraId="2D2377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73" w:type="pct"/>
            <w:shd w:val="clear" w:color="auto" w:fill="auto"/>
            <w:noWrap/>
            <w:vAlign w:val="center"/>
          </w:tcPr>
          <w:p w14:paraId="31132582">
            <w:pPr>
              <w:jc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2CFA7B57">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56CA36B3">
            <w:pPr>
              <w:jc w:val="center"/>
              <w:rPr>
                <w:rFonts w:hint="eastAsia" w:ascii="宋体" w:hAnsi="宋体" w:eastAsia="宋体" w:cs="宋体"/>
                <w:i w:val="0"/>
                <w:iCs w:val="0"/>
                <w:color w:val="000000"/>
                <w:sz w:val="22"/>
                <w:szCs w:val="22"/>
                <w:u w:val="none"/>
              </w:rPr>
            </w:pPr>
          </w:p>
        </w:tc>
        <w:tc>
          <w:tcPr>
            <w:tcW w:w="496" w:type="pct"/>
            <w:shd w:val="clear" w:color="auto" w:fill="auto"/>
            <w:vAlign w:val="center"/>
          </w:tcPr>
          <w:p w14:paraId="562EE0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拆除老人民医院门口杆件移位至西向安装电警，移位东向杆件至标准电警位置</w:t>
            </w:r>
          </w:p>
        </w:tc>
      </w:tr>
      <w:tr w14:paraId="2EF02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88" w:type="pct"/>
            <w:shd w:val="clear" w:color="auto" w:fill="auto"/>
            <w:noWrap/>
            <w:vAlign w:val="center"/>
          </w:tcPr>
          <w:p w14:paraId="7E86C532">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w:t>
            </w:r>
          </w:p>
        </w:tc>
        <w:tc>
          <w:tcPr>
            <w:tcW w:w="738" w:type="pct"/>
            <w:shd w:val="clear" w:color="auto" w:fill="auto"/>
            <w:noWrap/>
            <w:vAlign w:val="center"/>
          </w:tcPr>
          <w:p w14:paraId="53D1F9EA">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张謇路与兴业路</w:t>
            </w:r>
          </w:p>
        </w:tc>
        <w:tc>
          <w:tcPr>
            <w:tcW w:w="505" w:type="pct"/>
            <w:shd w:val="clear" w:color="auto" w:fill="auto"/>
            <w:noWrap/>
            <w:vAlign w:val="center"/>
          </w:tcPr>
          <w:p w14:paraId="26625EB4">
            <w:pPr>
              <w:keepNext w:val="0"/>
              <w:keepLines w:val="0"/>
              <w:widowControl/>
              <w:suppressLineNumbers w:val="0"/>
              <w:jc w:val="both"/>
              <w:textAlignment w:val="center"/>
              <w:rPr>
                <w:rFonts w:hint="default"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120.46913266</w:t>
            </w:r>
          </w:p>
        </w:tc>
        <w:tc>
          <w:tcPr>
            <w:tcW w:w="505" w:type="pct"/>
            <w:shd w:val="clear" w:color="auto" w:fill="auto"/>
            <w:noWrap/>
            <w:vAlign w:val="center"/>
          </w:tcPr>
          <w:p w14:paraId="0990ACE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33.17373090</w:t>
            </w:r>
          </w:p>
        </w:tc>
        <w:tc>
          <w:tcPr>
            <w:tcW w:w="288" w:type="pct"/>
            <w:shd w:val="clear" w:color="auto" w:fill="auto"/>
            <w:noWrap/>
            <w:vAlign w:val="center"/>
          </w:tcPr>
          <w:p w14:paraId="03A0768E">
            <w:pPr>
              <w:jc w:val="center"/>
              <w:rPr>
                <w:rFonts w:hint="eastAsia" w:ascii="宋体" w:hAnsi="宋体" w:eastAsia="宋体" w:cs="宋体"/>
                <w:i w:val="0"/>
                <w:iCs w:val="0"/>
                <w:color w:val="000000"/>
                <w:sz w:val="22"/>
                <w:szCs w:val="22"/>
                <w:u w:val="none"/>
              </w:rPr>
            </w:pPr>
          </w:p>
        </w:tc>
        <w:tc>
          <w:tcPr>
            <w:tcW w:w="408" w:type="pct"/>
            <w:shd w:val="clear" w:color="auto" w:fill="auto"/>
            <w:noWrap/>
            <w:vAlign w:val="center"/>
          </w:tcPr>
          <w:p w14:paraId="521BA0F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07" w:type="pct"/>
            <w:shd w:val="clear" w:color="auto" w:fill="auto"/>
            <w:noWrap/>
            <w:vAlign w:val="center"/>
          </w:tcPr>
          <w:p w14:paraId="0827DAD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73" w:type="pct"/>
            <w:shd w:val="clear" w:color="auto" w:fill="auto"/>
            <w:noWrap/>
            <w:vAlign w:val="center"/>
          </w:tcPr>
          <w:p w14:paraId="56E45B78">
            <w:pPr>
              <w:jc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64186195">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21CF83EB">
            <w:pPr>
              <w:jc w:val="center"/>
              <w:rPr>
                <w:rFonts w:hint="eastAsia" w:ascii="宋体" w:hAnsi="宋体" w:eastAsia="宋体" w:cs="宋体"/>
                <w:i w:val="0"/>
                <w:iCs w:val="0"/>
                <w:color w:val="000000"/>
                <w:sz w:val="22"/>
                <w:szCs w:val="22"/>
                <w:u w:val="none"/>
              </w:rPr>
            </w:pPr>
          </w:p>
        </w:tc>
        <w:tc>
          <w:tcPr>
            <w:tcW w:w="496" w:type="pct"/>
            <w:shd w:val="clear" w:color="auto" w:fill="auto"/>
            <w:vAlign w:val="center"/>
          </w:tcPr>
          <w:p w14:paraId="3D8F3415">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违停</w:t>
            </w:r>
          </w:p>
        </w:tc>
      </w:tr>
      <w:tr w14:paraId="08988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88" w:type="pct"/>
            <w:shd w:val="clear" w:color="auto" w:fill="auto"/>
            <w:noWrap/>
            <w:vAlign w:val="center"/>
          </w:tcPr>
          <w:p w14:paraId="0C00AFE6">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w:t>
            </w:r>
          </w:p>
        </w:tc>
        <w:tc>
          <w:tcPr>
            <w:tcW w:w="738" w:type="pct"/>
            <w:shd w:val="clear" w:color="auto" w:fill="auto"/>
            <w:noWrap/>
            <w:vAlign w:val="center"/>
          </w:tcPr>
          <w:p w14:paraId="3E846581">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张謇路与创业路</w:t>
            </w:r>
          </w:p>
        </w:tc>
        <w:tc>
          <w:tcPr>
            <w:tcW w:w="505" w:type="pct"/>
            <w:shd w:val="clear" w:color="auto" w:fill="auto"/>
            <w:noWrap/>
            <w:vAlign w:val="center"/>
          </w:tcPr>
          <w:p w14:paraId="62BFB86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120.47234058</w:t>
            </w:r>
          </w:p>
        </w:tc>
        <w:tc>
          <w:tcPr>
            <w:tcW w:w="505" w:type="pct"/>
            <w:shd w:val="clear" w:color="auto" w:fill="auto"/>
            <w:noWrap/>
            <w:vAlign w:val="center"/>
          </w:tcPr>
          <w:p w14:paraId="480011C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33.17382519</w:t>
            </w:r>
          </w:p>
        </w:tc>
        <w:tc>
          <w:tcPr>
            <w:tcW w:w="288" w:type="pct"/>
            <w:shd w:val="clear" w:color="auto" w:fill="auto"/>
            <w:noWrap/>
            <w:vAlign w:val="center"/>
          </w:tcPr>
          <w:p w14:paraId="6237CA62">
            <w:pPr>
              <w:jc w:val="center"/>
              <w:rPr>
                <w:rFonts w:hint="eastAsia" w:ascii="宋体" w:hAnsi="宋体" w:eastAsia="宋体" w:cs="宋体"/>
                <w:i w:val="0"/>
                <w:iCs w:val="0"/>
                <w:color w:val="000000"/>
                <w:sz w:val="22"/>
                <w:szCs w:val="22"/>
                <w:u w:val="none"/>
              </w:rPr>
            </w:pPr>
          </w:p>
        </w:tc>
        <w:tc>
          <w:tcPr>
            <w:tcW w:w="408" w:type="pct"/>
            <w:shd w:val="clear" w:color="auto" w:fill="auto"/>
            <w:noWrap/>
            <w:vAlign w:val="center"/>
          </w:tcPr>
          <w:p w14:paraId="0BFA974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07" w:type="pct"/>
            <w:shd w:val="clear" w:color="auto" w:fill="auto"/>
            <w:noWrap/>
            <w:vAlign w:val="center"/>
          </w:tcPr>
          <w:p w14:paraId="6899C29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73" w:type="pct"/>
            <w:shd w:val="clear" w:color="auto" w:fill="auto"/>
            <w:noWrap/>
            <w:vAlign w:val="center"/>
          </w:tcPr>
          <w:p w14:paraId="537263A2">
            <w:pPr>
              <w:jc w:val="center"/>
              <w:rPr>
                <w:rFonts w:hint="eastAsia" w:ascii="宋体" w:hAnsi="宋体" w:eastAsia="宋体" w:cs="宋体"/>
                <w:i w:val="0"/>
                <w:iCs w:val="0"/>
                <w:color w:val="000000"/>
                <w:sz w:val="22"/>
                <w:szCs w:val="22"/>
                <w:u w:val="none"/>
              </w:rPr>
            </w:pPr>
          </w:p>
        </w:tc>
        <w:tc>
          <w:tcPr>
            <w:tcW w:w="469" w:type="pct"/>
            <w:shd w:val="clear" w:color="auto" w:fill="auto"/>
            <w:noWrap/>
            <w:vAlign w:val="center"/>
          </w:tcPr>
          <w:p w14:paraId="0C80956C">
            <w:pPr>
              <w:jc w:val="center"/>
              <w:rPr>
                <w:rFonts w:hint="eastAsia" w:ascii="宋体" w:hAnsi="宋体" w:eastAsia="宋体" w:cs="宋体"/>
                <w:i w:val="0"/>
                <w:iCs w:val="0"/>
                <w:color w:val="000000"/>
                <w:sz w:val="22"/>
                <w:szCs w:val="22"/>
                <w:u w:val="none"/>
              </w:rPr>
            </w:pPr>
          </w:p>
        </w:tc>
        <w:tc>
          <w:tcPr>
            <w:tcW w:w="416" w:type="pct"/>
            <w:shd w:val="clear" w:color="auto" w:fill="auto"/>
            <w:noWrap/>
            <w:vAlign w:val="center"/>
          </w:tcPr>
          <w:p w14:paraId="28188513">
            <w:pPr>
              <w:jc w:val="center"/>
              <w:rPr>
                <w:rFonts w:hint="eastAsia" w:ascii="宋体" w:hAnsi="宋体" w:eastAsia="宋体" w:cs="宋体"/>
                <w:i w:val="0"/>
                <w:iCs w:val="0"/>
                <w:color w:val="000000"/>
                <w:sz w:val="22"/>
                <w:szCs w:val="22"/>
                <w:u w:val="none"/>
              </w:rPr>
            </w:pPr>
          </w:p>
        </w:tc>
        <w:tc>
          <w:tcPr>
            <w:tcW w:w="496" w:type="pct"/>
            <w:shd w:val="clear" w:color="auto" w:fill="auto"/>
            <w:vAlign w:val="center"/>
          </w:tcPr>
          <w:p w14:paraId="4B75E3C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违停</w:t>
            </w:r>
          </w:p>
        </w:tc>
      </w:tr>
    </w:tbl>
    <w:p w14:paraId="5044AECA">
      <w:pPr>
        <w:rPr>
          <w:rFonts w:hint="eastAsia" w:ascii="宋体" w:hAnsi="宋体" w:eastAsia="宋体" w:cs="宋体"/>
          <w:b/>
          <w:bCs/>
          <w:color w:val="auto"/>
          <w:lang w:val="en-US" w:eastAsia="zh-CN"/>
        </w:rPr>
        <w:sectPr>
          <w:pgSz w:w="16840" w:h="11907" w:orient="landscape"/>
          <w:pgMar w:top="1701" w:right="1588" w:bottom="1701" w:left="1361" w:header="1021" w:footer="1134" w:gutter="0"/>
          <w:cols w:space="720" w:num="1"/>
          <w:docGrid w:linePitch="312" w:charSpace="0"/>
        </w:sectPr>
      </w:pPr>
    </w:p>
    <w:p w14:paraId="145CE164">
      <w:pPr>
        <w:keepNext/>
        <w:keepLines/>
        <w:widowControl/>
        <w:spacing w:line="360" w:lineRule="auto"/>
        <w:jc w:val="left"/>
        <w:outlineLvl w:val="2"/>
        <w:rPr>
          <w:rFonts w:hint="eastAsia" w:ascii="宋体" w:hAnsi="宋体" w:eastAsia="宋体" w:cs="宋体"/>
          <w:b/>
          <w:bCs/>
          <w:color w:val="auto"/>
          <w:kern w:val="2"/>
          <w:sz w:val="24"/>
          <w:szCs w:val="22"/>
          <w:lang w:val="en-US" w:eastAsia="zh-CN" w:bidi="ar-SA"/>
        </w:rPr>
      </w:pPr>
      <w:bookmarkStart w:id="201" w:name="_Toc26372"/>
      <w:r>
        <w:rPr>
          <w:rFonts w:hint="eastAsia" w:ascii="宋体" w:hAnsi="宋体" w:eastAsia="宋体" w:cs="宋体"/>
          <w:b/>
          <w:bCs/>
          <w:color w:val="auto"/>
          <w:kern w:val="2"/>
          <w:sz w:val="24"/>
          <w:szCs w:val="22"/>
          <w:lang w:val="en-US" w:eastAsia="zh-CN" w:bidi="ar-SA"/>
        </w:rPr>
        <w:t>3.4  项目软硬件配置清单</w:t>
      </w:r>
      <w:bookmarkEnd w:id="201"/>
    </w:p>
    <w:p w14:paraId="3F34CEC3">
      <w:pPr>
        <w:keepNext/>
        <w:keepLines/>
        <w:widowControl/>
        <w:spacing w:line="360" w:lineRule="auto"/>
        <w:jc w:val="left"/>
        <w:outlineLvl w:val="2"/>
        <w:rPr>
          <w:rFonts w:hint="eastAsia" w:ascii="宋体" w:hAnsi="宋体" w:eastAsia="宋体" w:cs="宋体"/>
          <w:b/>
          <w:bCs/>
          <w:color w:val="auto"/>
          <w:kern w:val="2"/>
          <w:sz w:val="24"/>
          <w:szCs w:val="22"/>
          <w:lang w:val="en-US" w:eastAsia="zh-CN" w:bidi="ar-SA"/>
        </w:rPr>
      </w:pPr>
      <w:r>
        <w:rPr>
          <w:rFonts w:hint="eastAsia" w:ascii="宋体" w:hAnsi="宋体" w:eastAsia="宋体" w:cs="宋体"/>
          <w:b/>
          <w:bCs/>
          <w:color w:val="auto"/>
          <w:kern w:val="2"/>
          <w:sz w:val="24"/>
          <w:szCs w:val="22"/>
          <w:lang w:val="en-US" w:eastAsia="zh-CN" w:bidi="ar-SA"/>
        </w:rPr>
        <w:t>3.4.1 亮剑一号前端</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25"/>
        <w:gridCol w:w="2013"/>
        <w:gridCol w:w="7645"/>
        <w:gridCol w:w="848"/>
        <w:gridCol w:w="1131"/>
        <w:gridCol w:w="1712"/>
      </w:tblGrid>
      <w:tr w14:paraId="46667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trPr>
        <w:tc>
          <w:tcPr>
            <w:tcW w:w="5000" w:type="pct"/>
            <w:gridSpan w:val="6"/>
            <w:shd w:val="clear" w:color="auto" w:fill="auto"/>
            <w:noWrap/>
            <w:vAlign w:val="center"/>
          </w:tcPr>
          <w:p w14:paraId="4AD618F5">
            <w:pPr>
              <w:keepNext w:val="0"/>
              <w:keepLines w:val="0"/>
              <w:widowControl/>
              <w:suppressLineNumbers w:val="0"/>
              <w:jc w:val="center"/>
              <w:textAlignment w:val="center"/>
              <w:rPr>
                <w:rFonts w:ascii="微软雅黑" w:hAnsi="微软雅黑" w:eastAsia="微软雅黑" w:cs="微软雅黑"/>
                <w:b/>
                <w:bCs/>
                <w:i w:val="0"/>
                <w:iCs w:val="0"/>
                <w:color w:val="000000"/>
                <w:sz w:val="32"/>
                <w:szCs w:val="32"/>
                <w:u w:val="none"/>
              </w:rPr>
            </w:pPr>
            <w:r>
              <w:rPr>
                <w:rFonts w:hint="eastAsia" w:ascii="微软雅黑" w:hAnsi="微软雅黑" w:eastAsia="微软雅黑" w:cs="微软雅黑"/>
                <w:b/>
                <w:bCs/>
                <w:i w:val="0"/>
                <w:iCs w:val="0"/>
                <w:color w:val="000000"/>
                <w:kern w:val="0"/>
                <w:sz w:val="32"/>
                <w:szCs w:val="32"/>
                <w:u w:val="none"/>
                <w:lang w:val="en-US" w:eastAsia="zh-CN" w:bidi="ar"/>
              </w:rPr>
              <w:t>路口信号灯前端维修升级</w:t>
            </w:r>
          </w:p>
        </w:tc>
      </w:tr>
      <w:tr w14:paraId="37D91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0" w:hRule="atLeast"/>
        </w:trPr>
        <w:tc>
          <w:tcPr>
            <w:tcW w:w="291" w:type="pct"/>
            <w:shd w:val="clear" w:color="auto" w:fill="auto"/>
            <w:noWrap/>
            <w:vAlign w:val="center"/>
          </w:tcPr>
          <w:p w14:paraId="2AC16702">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序号</w:t>
            </w:r>
          </w:p>
        </w:tc>
        <w:tc>
          <w:tcPr>
            <w:tcW w:w="710" w:type="pct"/>
            <w:shd w:val="clear" w:color="auto" w:fill="auto"/>
            <w:noWrap/>
            <w:vAlign w:val="center"/>
          </w:tcPr>
          <w:p w14:paraId="0A45A7CD">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产品类别</w:t>
            </w:r>
          </w:p>
        </w:tc>
        <w:tc>
          <w:tcPr>
            <w:tcW w:w="2697" w:type="pct"/>
            <w:shd w:val="clear" w:color="auto" w:fill="auto"/>
            <w:noWrap/>
            <w:vAlign w:val="center"/>
          </w:tcPr>
          <w:p w14:paraId="568D8E7E">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核心参数</w:t>
            </w:r>
          </w:p>
        </w:tc>
        <w:tc>
          <w:tcPr>
            <w:tcW w:w="299" w:type="pct"/>
            <w:shd w:val="clear" w:color="auto" w:fill="auto"/>
            <w:noWrap/>
            <w:vAlign w:val="center"/>
          </w:tcPr>
          <w:p w14:paraId="72A935E8">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单位</w:t>
            </w:r>
          </w:p>
        </w:tc>
        <w:tc>
          <w:tcPr>
            <w:tcW w:w="397" w:type="pct"/>
            <w:shd w:val="clear" w:color="auto" w:fill="auto"/>
            <w:noWrap/>
            <w:vAlign w:val="center"/>
          </w:tcPr>
          <w:p w14:paraId="4EB8E75B">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数量</w:t>
            </w:r>
          </w:p>
        </w:tc>
        <w:tc>
          <w:tcPr>
            <w:tcW w:w="603" w:type="pct"/>
            <w:shd w:val="clear" w:color="auto" w:fill="auto"/>
            <w:noWrap/>
            <w:vAlign w:val="center"/>
          </w:tcPr>
          <w:p w14:paraId="2372A5FD">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备注</w:t>
            </w:r>
          </w:p>
        </w:tc>
      </w:tr>
      <w:tr w14:paraId="59A4E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0" w:hRule="atLeast"/>
        </w:trPr>
        <w:tc>
          <w:tcPr>
            <w:tcW w:w="291" w:type="pct"/>
            <w:shd w:val="clear" w:color="auto" w:fill="auto"/>
            <w:noWrap/>
            <w:vAlign w:val="center"/>
          </w:tcPr>
          <w:p w14:paraId="1C5C36BC">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一</w:t>
            </w:r>
          </w:p>
        </w:tc>
        <w:tc>
          <w:tcPr>
            <w:tcW w:w="4105" w:type="pct"/>
            <w:gridSpan w:val="4"/>
            <w:shd w:val="clear" w:color="auto" w:fill="auto"/>
            <w:noWrap/>
            <w:vAlign w:val="center"/>
          </w:tcPr>
          <w:p w14:paraId="0C639089">
            <w:pPr>
              <w:keepNext w:val="0"/>
              <w:keepLines w:val="0"/>
              <w:widowControl/>
              <w:suppressLineNumbers w:val="0"/>
              <w:jc w:val="left"/>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主要设备部分</w:t>
            </w:r>
          </w:p>
        </w:tc>
        <w:tc>
          <w:tcPr>
            <w:tcW w:w="603" w:type="pct"/>
            <w:shd w:val="clear" w:color="auto" w:fill="auto"/>
            <w:noWrap/>
            <w:vAlign w:val="center"/>
          </w:tcPr>
          <w:p w14:paraId="6F217FA8">
            <w:pPr>
              <w:jc w:val="center"/>
              <w:rPr>
                <w:rFonts w:hint="eastAsia" w:ascii="微软雅黑" w:hAnsi="微软雅黑" w:eastAsia="微软雅黑" w:cs="微软雅黑"/>
                <w:b/>
                <w:bCs/>
                <w:i w:val="0"/>
                <w:iCs w:val="0"/>
                <w:color w:val="000000"/>
                <w:sz w:val="20"/>
                <w:szCs w:val="20"/>
                <w:u w:val="none"/>
              </w:rPr>
            </w:pPr>
          </w:p>
        </w:tc>
      </w:tr>
      <w:tr w14:paraId="7CD7D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91" w:type="pct"/>
            <w:shd w:val="clear" w:color="auto" w:fill="auto"/>
            <w:vAlign w:val="center"/>
          </w:tcPr>
          <w:p w14:paraId="5BE1AC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0" w:type="pct"/>
            <w:shd w:val="clear" w:color="auto" w:fill="auto"/>
            <w:vAlign w:val="center"/>
          </w:tcPr>
          <w:p w14:paraId="7E25FF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信号机</w:t>
            </w:r>
          </w:p>
        </w:tc>
        <w:tc>
          <w:tcPr>
            <w:tcW w:w="2697" w:type="pct"/>
            <w:shd w:val="clear" w:color="auto" w:fill="auto"/>
            <w:vAlign w:val="center"/>
          </w:tcPr>
          <w:p w14:paraId="5214A4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299" w:type="pct"/>
            <w:shd w:val="clear" w:color="auto" w:fill="auto"/>
            <w:vAlign w:val="center"/>
          </w:tcPr>
          <w:p w14:paraId="06822A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97" w:type="pct"/>
            <w:shd w:val="clear" w:color="auto" w:fill="auto"/>
            <w:vAlign w:val="center"/>
          </w:tcPr>
          <w:p w14:paraId="6C1700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603" w:type="pct"/>
            <w:shd w:val="clear" w:color="auto" w:fill="auto"/>
            <w:vAlign w:val="center"/>
          </w:tcPr>
          <w:p w14:paraId="20865F29">
            <w:pPr>
              <w:jc w:val="center"/>
              <w:rPr>
                <w:rFonts w:hint="eastAsia" w:ascii="宋体" w:hAnsi="宋体" w:eastAsia="宋体" w:cs="宋体"/>
                <w:i w:val="0"/>
                <w:iCs w:val="0"/>
                <w:color w:val="000000"/>
                <w:sz w:val="20"/>
                <w:szCs w:val="20"/>
                <w:u w:val="none"/>
              </w:rPr>
            </w:pPr>
          </w:p>
        </w:tc>
      </w:tr>
      <w:tr w14:paraId="399BA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91" w:type="pct"/>
            <w:shd w:val="clear" w:color="auto" w:fill="auto"/>
            <w:vAlign w:val="center"/>
          </w:tcPr>
          <w:p w14:paraId="12BAB2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10" w:type="pct"/>
            <w:shd w:val="clear" w:color="auto" w:fill="auto"/>
            <w:vAlign w:val="center"/>
          </w:tcPr>
          <w:p w14:paraId="22AF59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满屏灯</w:t>
            </w:r>
          </w:p>
        </w:tc>
        <w:tc>
          <w:tcPr>
            <w:tcW w:w="2697" w:type="pct"/>
            <w:shd w:val="clear" w:color="auto" w:fill="auto"/>
            <w:vAlign w:val="center"/>
          </w:tcPr>
          <w:p w14:paraId="55D969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299" w:type="pct"/>
            <w:shd w:val="clear" w:color="auto" w:fill="auto"/>
            <w:vAlign w:val="center"/>
          </w:tcPr>
          <w:p w14:paraId="2F2225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97" w:type="pct"/>
            <w:shd w:val="clear" w:color="auto" w:fill="auto"/>
            <w:vAlign w:val="center"/>
          </w:tcPr>
          <w:p w14:paraId="07D5CB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226</w:t>
            </w:r>
          </w:p>
        </w:tc>
        <w:tc>
          <w:tcPr>
            <w:tcW w:w="603" w:type="pct"/>
            <w:shd w:val="clear" w:color="auto" w:fill="auto"/>
            <w:vAlign w:val="center"/>
          </w:tcPr>
          <w:p w14:paraId="5794A816">
            <w:pPr>
              <w:jc w:val="center"/>
              <w:rPr>
                <w:rFonts w:hint="eastAsia" w:ascii="宋体" w:hAnsi="宋体" w:eastAsia="宋体" w:cs="宋体"/>
                <w:i w:val="0"/>
                <w:iCs w:val="0"/>
                <w:color w:val="000000"/>
                <w:sz w:val="20"/>
                <w:szCs w:val="20"/>
                <w:u w:val="none"/>
              </w:rPr>
            </w:pPr>
          </w:p>
        </w:tc>
      </w:tr>
      <w:tr w14:paraId="4FB07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91" w:type="pct"/>
            <w:shd w:val="clear" w:color="auto" w:fill="auto"/>
            <w:vAlign w:val="center"/>
          </w:tcPr>
          <w:p w14:paraId="6F0F7E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10" w:type="pct"/>
            <w:shd w:val="clear" w:color="auto" w:fill="auto"/>
            <w:vAlign w:val="center"/>
          </w:tcPr>
          <w:p w14:paraId="402ABC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箭头灯</w:t>
            </w:r>
          </w:p>
        </w:tc>
        <w:tc>
          <w:tcPr>
            <w:tcW w:w="2697" w:type="pct"/>
            <w:shd w:val="clear" w:color="auto" w:fill="auto"/>
            <w:vAlign w:val="center"/>
          </w:tcPr>
          <w:p w14:paraId="6C7749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299" w:type="pct"/>
            <w:shd w:val="clear" w:color="auto" w:fill="auto"/>
            <w:vAlign w:val="center"/>
          </w:tcPr>
          <w:p w14:paraId="3B9DBA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97" w:type="pct"/>
            <w:shd w:val="clear" w:color="auto" w:fill="auto"/>
            <w:vAlign w:val="center"/>
          </w:tcPr>
          <w:p w14:paraId="0AAD6C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111</w:t>
            </w:r>
          </w:p>
        </w:tc>
        <w:tc>
          <w:tcPr>
            <w:tcW w:w="603" w:type="pct"/>
            <w:shd w:val="clear" w:color="auto" w:fill="auto"/>
            <w:vAlign w:val="center"/>
          </w:tcPr>
          <w:p w14:paraId="360E7EDD">
            <w:pPr>
              <w:jc w:val="center"/>
              <w:rPr>
                <w:rFonts w:hint="eastAsia" w:ascii="宋体" w:hAnsi="宋体" w:eastAsia="宋体" w:cs="宋体"/>
                <w:i w:val="0"/>
                <w:iCs w:val="0"/>
                <w:color w:val="000000"/>
                <w:sz w:val="20"/>
                <w:szCs w:val="20"/>
                <w:u w:val="none"/>
              </w:rPr>
            </w:pPr>
          </w:p>
        </w:tc>
      </w:tr>
      <w:tr w14:paraId="7EBAE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91" w:type="pct"/>
            <w:shd w:val="clear" w:color="auto" w:fill="auto"/>
            <w:vAlign w:val="center"/>
          </w:tcPr>
          <w:p w14:paraId="24F229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710" w:type="pct"/>
            <w:shd w:val="clear" w:color="auto" w:fill="auto"/>
            <w:vAlign w:val="center"/>
          </w:tcPr>
          <w:p w14:paraId="6BA434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倒计时</w:t>
            </w:r>
          </w:p>
        </w:tc>
        <w:tc>
          <w:tcPr>
            <w:tcW w:w="2697" w:type="pct"/>
            <w:shd w:val="clear" w:color="auto" w:fill="auto"/>
            <w:vAlign w:val="center"/>
          </w:tcPr>
          <w:p w14:paraId="1968FA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299" w:type="pct"/>
            <w:shd w:val="clear" w:color="auto" w:fill="auto"/>
            <w:vAlign w:val="center"/>
          </w:tcPr>
          <w:p w14:paraId="0E50C0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97" w:type="pct"/>
            <w:shd w:val="clear" w:color="auto" w:fill="auto"/>
            <w:vAlign w:val="center"/>
          </w:tcPr>
          <w:p w14:paraId="591A4C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w:t>
            </w:r>
          </w:p>
        </w:tc>
        <w:tc>
          <w:tcPr>
            <w:tcW w:w="603" w:type="pct"/>
            <w:shd w:val="clear" w:color="auto" w:fill="auto"/>
            <w:vAlign w:val="center"/>
          </w:tcPr>
          <w:p w14:paraId="2AF53722">
            <w:pPr>
              <w:jc w:val="center"/>
              <w:rPr>
                <w:rFonts w:hint="eastAsia" w:ascii="宋体" w:hAnsi="宋体" w:eastAsia="宋体" w:cs="宋体"/>
                <w:i w:val="0"/>
                <w:iCs w:val="0"/>
                <w:color w:val="000000"/>
                <w:sz w:val="20"/>
                <w:szCs w:val="20"/>
                <w:u w:val="none"/>
              </w:rPr>
            </w:pPr>
          </w:p>
        </w:tc>
      </w:tr>
      <w:tr w14:paraId="22C6C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91" w:type="pct"/>
            <w:shd w:val="clear" w:color="auto" w:fill="auto"/>
            <w:vAlign w:val="center"/>
          </w:tcPr>
          <w:p w14:paraId="44A08A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10" w:type="pct"/>
            <w:shd w:val="clear" w:color="auto" w:fill="auto"/>
            <w:vAlign w:val="center"/>
          </w:tcPr>
          <w:p w14:paraId="401B71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人行灯</w:t>
            </w:r>
          </w:p>
        </w:tc>
        <w:tc>
          <w:tcPr>
            <w:tcW w:w="2697" w:type="pct"/>
            <w:shd w:val="clear" w:color="auto" w:fill="auto"/>
            <w:vAlign w:val="center"/>
          </w:tcPr>
          <w:p w14:paraId="00B0B09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299" w:type="pct"/>
            <w:shd w:val="clear" w:color="auto" w:fill="auto"/>
            <w:vAlign w:val="center"/>
          </w:tcPr>
          <w:p w14:paraId="2CFBD3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97" w:type="pct"/>
            <w:shd w:val="clear" w:color="auto" w:fill="auto"/>
            <w:vAlign w:val="center"/>
          </w:tcPr>
          <w:p w14:paraId="5F6847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331</w:t>
            </w:r>
          </w:p>
        </w:tc>
        <w:tc>
          <w:tcPr>
            <w:tcW w:w="603" w:type="pct"/>
            <w:shd w:val="clear" w:color="auto" w:fill="auto"/>
            <w:vAlign w:val="center"/>
          </w:tcPr>
          <w:p w14:paraId="73A67FE7">
            <w:pPr>
              <w:jc w:val="center"/>
              <w:rPr>
                <w:rFonts w:hint="eastAsia" w:ascii="宋体" w:hAnsi="宋体" w:eastAsia="宋体" w:cs="宋体"/>
                <w:i w:val="0"/>
                <w:iCs w:val="0"/>
                <w:color w:val="000000"/>
                <w:sz w:val="20"/>
                <w:szCs w:val="20"/>
                <w:u w:val="none"/>
              </w:rPr>
            </w:pPr>
          </w:p>
        </w:tc>
      </w:tr>
      <w:tr w14:paraId="07AE5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91" w:type="pct"/>
            <w:shd w:val="clear" w:color="auto" w:fill="auto"/>
            <w:vAlign w:val="center"/>
          </w:tcPr>
          <w:p w14:paraId="67D0B1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710" w:type="pct"/>
            <w:shd w:val="clear" w:color="auto" w:fill="auto"/>
            <w:vAlign w:val="center"/>
          </w:tcPr>
          <w:p w14:paraId="0A5603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电警、信号灯机箱</w:t>
            </w:r>
          </w:p>
        </w:tc>
        <w:tc>
          <w:tcPr>
            <w:tcW w:w="2697" w:type="pct"/>
            <w:shd w:val="clear" w:color="auto" w:fill="auto"/>
            <w:vAlign w:val="center"/>
          </w:tcPr>
          <w:p w14:paraId="445946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电警、信号灯控制箱迁移至甲方指定位置</w:t>
            </w:r>
          </w:p>
        </w:tc>
        <w:tc>
          <w:tcPr>
            <w:tcW w:w="299" w:type="pct"/>
            <w:shd w:val="clear" w:color="auto" w:fill="auto"/>
            <w:vAlign w:val="center"/>
          </w:tcPr>
          <w:p w14:paraId="64A53E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397" w:type="pct"/>
            <w:shd w:val="clear" w:color="auto" w:fill="auto"/>
            <w:vAlign w:val="center"/>
          </w:tcPr>
          <w:p w14:paraId="352615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03" w:type="pct"/>
            <w:shd w:val="clear" w:color="auto" w:fill="auto"/>
            <w:noWrap/>
            <w:vAlign w:val="center"/>
          </w:tcPr>
          <w:p w14:paraId="010B2F23">
            <w:pPr>
              <w:jc w:val="center"/>
              <w:rPr>
                <w:rFonts w:hint="eastAsia" w:ascii="微软雅黑" w:hAnsi="微软雅黑" w:eastAsia="微软雅黑" w:cs="微软雅黑"/>
                <w:b/>
                <w:bCs/>
                <w:i w:val="0"/>
                <w:iCs w:val="0"/>
                <w:color w:val="000000"/>
                <w:sz w:val="20"/>
                <w:szCs w:val="20"/>
                <w:u w:val="none"/>
              </w:rPr>
            </w:pPr>
          </w:p>
        </w:tc>
      </w:tr>
      <w:tr w14:paraId="1CE00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40" w:hRule="atLeast"/>
        </w:trPr>
        <w:tc>
          <w:tcPr>
            <w:tcW w:w="291" w:type="pct"/>
            <w:shd w:val="clear" w:color="auto" w:fill="auto"/>
            <w:vAlign w:val="center"/>
          </w:tcPr>
          <w:p w14:paraId="0234DE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710" w:type="pct"/>
            <w:shd w:val="clear" w:color="auto" w:fill="auto"/>
            <w:vAlign w:val="center"/>
          </w:tcPr>
          <w:p w14:paraId="3CEEE5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信号机主板</w:t>
            </w:r>
          </w:p>
        </w:tc>
        <w:tc>
          <w:tcPr>
            <w:tcW w:w="2697" w:type="pct"/>
            <w:shd w:val="clear" w:color="auto" w:fill="auto"/>
            <w:vAlign w:val="center"/>
          </w:tcPr>
          <w:p w14:paraId="01603E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机主板可完成信号机所有控制功能，可实现外部信息处理、控制方案生成与实施功能，并实现倒计时实时通讯、无线遥控通讯与响应、授时、USB外设识别与读写、设备故障信息分析与处理、与中心平台联网等功能。</w:t>
            </w:r>
          </w:p>
        </w:tc>
        <w:tc>
          <w:tcPr>
            <w:tcW w:w="299" w:type="pct"/>
            <w:shd w:val="clear" w:color="auto" w:fill="auto"/>
            <w:vAlign w:val="center"/>
          </w:tcPr>
          <w:p w14:paraId="3A1DFF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397" w:type="pct"/>
            <w:shd w:val="clear" w:color="auto" w:fill="auto"/>
            <w:vAlign w:val="center"/>
          </w:tcPr>
          <w:p w14:paraId="172658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603" w:type="pct"/>
            <w:shd w:val="clear" w:color="auto" w:fill="auto"/>
            <w:noWrap/>
            <w:vAlign w:val="center"/>
          </w:tcPr>
          <w:p w14:paraId="161F2FCF">
            <w:pPr>
              <w:jc w:val="center"/>
              <w:rPr>
                <w:rFonts w:hint="eastAsia" w:ascii="微软雅黑" w:hAnsi="微软雅黑" w:eastAsia="微软雅黑" w:cs="微软雅黑"/>
                <w:b/>
                <w:bCs/>
                <w:i w:val="0"/>
                <w:iCs w:val="0"/>
                <w:color w:val="000000"/>
                <w:sz w:val="20"/>
                <w:szCs w:val="20"/>
                <w:u w:val="none"/>
              </w:rPr>
            </w:pPr>
          </w:p>
        </w:tc>
      </w:tr>
      <w:tr w14:paraId="1C4D8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91" w:type="pct"/>
            <w:shd w:val="clear" w:color="auto" w:fill="auto"/>
            <w:noWrap/>
            <w:vAlign w:val="center"/>
          </w:tcPr>
          <w:p w14:paraId="658F21F0">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二</w:t>
            </w:r>
          </w:p>
        </w:tc>
        <w:tc>
          <w:tcPr>
            <w:tcW w:w="4105" w:type="pct"/>
            <w:gridSpan w:val="4"/>
            <w:shd w:val="clear" w:color="auto" w:fill="auto"/>
            <w:noWrap/>
            <w:vAlign w:val="center"/>
          </w:tcPr>
          <w:p w14:paraId="1B13C726">
            <w:pPr>
              <w:keepNext w:val="0"/>
              <w:keepLines w:val="0"/>
              <w:widowControl/>
              <w:suppressLineNumbers w:val="0"/>
              <w:jc w:val="left"/>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主要材料部分</w:t>
            </w:r>
          </w:p>
        </w:tc>
        <w:tc>
          <w:tcPr>
            <w:tcW w:w="603" w:type="pct"/>
            <w:shd w:val="clear" w:color="auto" w:fill="auto"/>
            <w:noWrap/>
            <w:vAlign w:val="center"/>
          </w:tcPr>
          <w:p w14:paraId="27BEF230">
            <w:pPr>
              <w:jc w:val="center"/>
              <w:rPr>
                <w:rFonts w:hint="eastAsia" w:ascii="微软雅黑" w:hAnsi="微软雅黑" w:eastAsia="微软雅黑" w:cs="微软雅黑"/>
                <w:b/>
                <w:bCs/>
                <w:i w:val="0"/>
                <w:iCs w:val="0"/>
                <w:color w:val="000000"/>
                <w:sz w:val="20"/>
                <w:szCs w:val="20"/>
                <w:u w:val="none"/>
              </w:rPr>
            </w:pPr>
          </w:p>
        </w:tc>
      </w:tr>
      <w:tr w14:paraId="016DD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291" w:type="pct"/>
            <w:shd w:val="clear" w:color="auto" w:fill="auto"/>
            <w:vAlign w:val="center"/>
          </w:tcPr>
          <w:p w14:paraId="578108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710" w:type="pct"/>
            <w:shd w:val="clear" w:color="auto" w:fill="auto"/>
            <w:vAlign w:val="center"/>
          </w:tcPr>
          <w:p w14:paraId="234854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人行信号灯杆件</w:t>
            </w:r>
          </w:p>
        </w:tc>
        <w:tc>
          <w:tcPr>
            <w:tcW w:w="2697" w:type="pct"/>
            <w:shd w:val="clear" w:color="auto" w:fill="auto"/>
            <w:vAlign w:val="center"/>
          </w:tcPr>
          <w:p w14:paraId="52EA5D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立杆直径140-4mm厚，基础法兰350*350-14mm厚，热镀锌后喷塑处理。固定法兰350*350-4mm厚，预埋件螺栓中心距250*250mm-4支M20圆钢长0.6米。基坑规格600*600-800mm深。</w:t>
            </w:r>
          </w:p>
        </w:tc>
        <w:tc>
          <w:tcPr>
            <w:tcW w:w="299" w:type="pct"/>
            <w:shd w:val="clear" w:color="auto" w:fill="auto"/>
            <w:vAlign w:val="center"/>
          </w:tcPr>
          <w:p w14:paraId="5E50A3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97" w:type="pct"/>
            <w:shd w:val="clear" w:color="auto" w:fill="auto"/>
            <w:vAlign w:val="center"/>
          </w:tcPr>
          <w:p w14:paraId="390812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603" w:type="pct"/>
            <w:shd w:val="clear" w:color="auto" w:fill="auto"/>
            <w:vAlign w:val="center"/>
          </w:tcPr>
          <w:p w14:paraId="7A3AC4BF">
            <w:pPr>
              <w:jc w:val="center"/>
              <w:rPr>
                <w:rFonts w:hint="eastAsia" w:ascii="宋体" w:hAnsi="宋体" w:eastAsia="宋体" w:cs="宋体"/>
                <w:i w:val="0"/>
                <w:iCs w:val="0"/>
                <w:color w:val="000000"/>
                <w:sz w:val="20"/>
                <w:szCs w:val="20"/>
                <w:u w:val="none"/>
              </w:rPr>
            </w:pPr>
          </w:p>
        </w:tc>
      </w:tr>
      <w:tr w14:paraId="132E6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40" w:hRule="atLeast"/>
        </w:trPr>
        <w:tc>
          <w:tcPr>
            <w:tcW w:w="291" w:type="pct"/>
            <w:shd w:val="clear" w:color="auto" w:fill="auto"/>
            <w:vAlign w:val="center"/>
          </w:tcPr>
          <w:p w14:paraId="3D9321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710" w:type="pct"/>
            <w:shd w:val="clear" w:color="auto" w:fill="auto"/>
            <w:vAlign w:val="center"/>
          </w:tcPr>
          <w:p w14:paraId="0FD9B5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7米挑臂5M杆件（含基础、地笼、浇筑）</w:t>
            </w:r>
          </w:p>
        </w:tc>
        <w:tc>
          <w:tcPr>
            <w:tcW w:w="2697" w:type="pct"/>
            <w:shd w:val="clear" w:color="auto" w:fill="auto"/>
            <w:vAlign w:val="center"/>
          </w:tcPr>
          <w:p w14:paraId="1B591C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立杆八角直径220-280-6mm厚，横臂八角直径90-180-4mm厚，基础法兰直径500-16mm厚，热镀锌后喷塑，固定法兰直径500-4mm厚，预埋件螺栓对角中心距400mm-8支M24圆钢长1.285米。基坑规格1200*1200-1400mm深。</w:t>
            </w:r>
          </w:p>
        </w:tc>
        <w:tc>
          <w:tcPr>
            <w:tcW w:w="299" w:type="pct"/>
            <w:shd w:val="clear" w:color="auto" w:fill="auto"/>
            <w:vAlign w:val="center"/>
          </w:tcPr>
          <w:p w14:paraId="2E72AB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97" w:type="pct"/>
            <w:shd w:val="clear" w:color="auto" w:fill="auto"/>
            <w:vAlign w:val="center"/>
          </w:tcPr>
          <w:p w14:paraId="192A52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03" w:type="pct"/>
            <w:shd w:val="clear" w:color="auto" w:fill="auto"/>
            <w:noWrap/>
            <w:vAlign w:val="center"/>
          </w:tcPr>
          <w:p w14:paraId="48EAF1D1">
            <w:pPr>
              <w:jc w:val="center"/>
              <w:rPr>
                <w:rFonts w:hint="eastAsia" w:ascii="微软雅黑" w:hAnsi="微软雅黑" w:eastAsia="微软雅黑" w:cs="微软雅黑"/>
                <w:b/>
                <w:bCs/>
                <w:i w:val="0"/>
                <w:iCs w:val="0"/>
                <w:color w:val="000000"/>
                <w:sz w:val="20"/>
                <w:szCs w:val="20"/>
                <w:u w:val="none"/>
              </w:rPr>
            </w:pPr>
          </w:p>
        </w:tc>
      </w:tr>
      <w:tr w14:paraId="0730D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40" w:hRule="atLeast"/>
        </w:trPr>
        <w:tc>
          <w:tcPr>
            <w:tcW w:w="291" w:type="pct"/>
            <w:shd w:val="clear" w:color="auto" w:fill="auto"/>
            <w:vAlign w:val="center"/>
          </w:tcPr>
          <w:p w14:paraId="093F7C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710" w:type="pct"/>
            <w:shd w:val="clear" w:color="auto" w:fill="auto"/>
            <w:vAlign w:val="center"/>
          </w:tcPr>
          <w:p w14:paraId="549ABD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7米挑臂7M杆件（含基础、地笼、浇筑）</w:t>
            </w:r>
          </w:p>
        </w:tc>
        <w:tc>
          <w:tcPr>
            <w:tcW w:w="2697" w:type="pct"/>
            <w:shd w:val="clear" w:color="auto" w:fill="auto"/>
            <w:vAlign w:val="center"/>
          </w:tcPr>
          <w:p w14:paraId="5E32CB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立杆八角直径220-280-6mm厚，横臂八角直径90-180-4mm厚，基础法兰直径500-16mm厚，热镀锌后喷塑，固定法兰直径500-4mm厚，预埋件螺栓对角中心距400mm-8支M24圆钢长1.285米。基坑规格1200*1200-1400mm深。</w:t>
            </w:r>
          </w:p>
        </w:tc>
        <w:tc>
          <w:tcPr>
            <w:tcW w:w="299" w:type="pct"/>
            <w:shd w:val="clear" w:color="auto" w:fill="auto"/>
            <w:vAlign w:val="center"/>
          </w:tcPr>
          <w:p w14:paraId="6DF253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97" w:type="pct"/>
            <w:shd w:val="clear" w:color="auto" w:fill="auto"/>
            <w:vAlign w:val="center"/>
          </w:tcPr>
          <w:p w14:paraId="19E22F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603" w:type="pct"/>
            <w:shd w:val="clear" w:color="auto" w:fill="auto"/>
            <w:noWrap/>
            <w:vAlign w:val="center"/>
          </w:tcPr>
          <w:p w14:paraId="76845653">
            <w:pPr>
              <w:jc w:val="center"/>
              <w:rPr>
                <w:rFonts w:hint="eastAsia" w:ascii="微软雅黑" w:hAnsi="微软雅黑" w:eastAsia="微软雅黑" w:cs="微软雅黑"/>
                <w:b/>
                <w:bCs/>
                <w:i w:val="0"/>
                <w:iCs w:val="0"/>
                <w:color w:val="000000"/>
                <w:sz w:val="20"/>
                <w:szCs w:val="20"/>
                <w:u w:val="none"/>
              </w:rPr>
            </w:pPr>
          </w:p>
        </w:tc>
      </w:tr>
      <w:tr w14:paraId="24FD3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40" w:hRule="atLeast"/>
        </w:trPr>
        <w:tc>
          <w:tcPr>
            <w:tcW w:w="291" w:type="pct"/>
            <w:shd w:val="clear" w:color="auto" w:fill="auto"/>
            <w:vAlign w:val="center"/>
          </w:tcPr>
          <w:p w14:paraId="4E8945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10" w:type="pct"/>
            <w:shd w:val="clear" w:color="auto" w:fill="auto"/>
            <w:vAlign w:val="center"/>
          </w:tcPr>
          <w:p w14:paraId="183874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7米挑臂8M杆件（含基础、地笼、浇筑）</w:t>
            </w:r>
          </w:p>
        </w:tc>
        <w:tc>
          <w:tcPr>
            <w:tcW w:w="2697" w:type="pct"/>
            <w:shd w:val="clear" w:color="auto" w:fill="auto"/>
            <w:vAlign w:val="center"/>
          </w:tcPr>
          <w:p w14:paraId="407EA0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立杆八角直径240-300-6mm厚，横臂八角直径100-230-4mm厚，基础法兰直径500-16mm厚，热镀锌后喷塑。固定法兰直径500-4mm厚，预埋件螺栓对角中心距450mm-8支M27圆钢长1.5米。基坑规格1400*1400-1600mm深。</w:t>
            </w:r>
          </w:p>
        </w:tc>
        <w:tc>
          <w:tcPr>
            <w:tcW w:w="299" w:type="pct"/>
            <w:shd w:val="clear" w:color="auto" w:fill="auto"/>
            <w:vAlign w:val="center"/>
          </w:tcPr>
          <w:p w14:paraId="4C336C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97" w:type="pct"/>
            <w:shd w:val="clear" w:color="auto" w:fill="auto"/>
            <w:vAlign w:val="center"/>
          </w:tcPr>
          <w:p w14:paraId="42C10A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603" w:type="pct"/>
            <w:shd w:val="clear" w:color="auto" w:fill="auto"/>
            <w:vAlign w:val="center"/>
          </w:tcPr>
          <w:p w14:paraId="627015DD">
            <w:pPr>
              <w:jc w:val="center"/>
              <w:rPr>
                <w:rFonts w:hint="eastAsia" w:ascii="宋体" w:hAnsi="宋体" w:eastAsia="宋体" w:cs="宋体"/>
                <w:i w:val="0"/>
                <w:iCs w:val="0"/>
                <w:color w:val="000000"/>
                <w:sz w:val="20"/>
                <w:szCs w:val="20"/>
                <w:u w:val="none"/>
              </w:rPr>
            </w:pPr>
          </w:p>
        </w:tc>
      </w:tr>
      <w:tr w14:paraId="2C774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40" w:hRule="atLeast"/>
        </w:trPr>
        <w:tc>
          <w:tcPr>
            <w:tcW w:w="291" w:type="pct"/>
            <w:shd w:val="clear" w:color="auto" w:fill="auto"/>
            <w:vAlign w:val="center"/>
          </w:tcPr>
          <w:p w14:paraId="7E2CD4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710" w:type="pct"/>
            <w:shd w:val="clear" w:color="auto" w:fill="auto"/>
            <w:vAlign w:val="center"/>
          </w:tcPr>
          <w:p w14:paraId="290196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7米挑臂12M杆件（含基础、地笼、浇筑）</w:t>
            </w:r>
          </w:p>
        </w:tc>
        <w:tc>
          <w:tcPr>
            <w:tcW w:w="2697" w:type="pct"/>
            <w:shd w:val="clear" w:color="auto" w:fill="auto"/>
            <w:vAlign w:val="center"/>
          </w:tcPr>
          <w:p w14:paraId="60A51E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立杆八角直径300-360-8mm厚，横臂八角直径100-280-5mm厚，基础法兰直径600-20mm厚。热镀锌后喷塑，固定法兰直径600-6mm厚，预埋件螺栓对角中心距500mm-8支M30圆钢长1.5米。基坑规格1600*1600-1800mm深。</w:t>
            </w:r>
          </w:p>
        </w:tc>
        <w:tc>
          <w:tcPr>
            <w:tcW w:w="299" w:type="pct"/>
            <w:shd w:val="clear" w:color="auto" w:fill="auto"/>
            <w:vAlign w:val="center"/>
          </w:tcPr>
          <w:p w14:paraId="76526A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97" w:type="pct"/>
            <w:shd w:val="clear" w:color="auto" w:fill="auto"/>
            <w:vAlign w:val="center"/>
          </w:tcPr>
          <w:p w14:paraId="0C7D91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03" w:type="pct"/>
            <w:shd w:val="clear" w:color="auto" w:fill="auto"/>
            <w:vAlign w:val="center"/>
          </w:tcPr>
          <w:p w14:paraId="0F6C1307">
            <w:pPr>
              <w:jc w:val="center"/>
              <w:rPr>
                <w:rFonts w:hint="eastAsia" w:ascii="宋体" w:hAnsi="宋体" w:eastAsia="宋体" w:cs="宋体"/>
                <w:i w:val="0"/>
                <w:iCs w:val="0"/>
                <w:color w:val="000000"/>
                <w:sz w:val="20"/>
                <w:szCs w:val="20"/>
                <w:u w:val="none"/>
              </w:rPr>
            </w:pPr>
          </w:p>
        </w:tc>
      </w:tr>
      <w:tr w14:paraId="637EC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91" w:type="pct"/>
            <w:shd w:val="clear" w:color="auto" w:fill="auto"/>
            <w:vAlign w:val="center"/>
          </w:tcPr>
          <w:p w14:paraId="2922D7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710" w:type="pct"/>
            <w:shd w:val="clear" w:color="auto" w:fill="auto"/>
            <w:vAlign w:val="center"/>
          </w:tcPr>
          <w:p w14:paraId="71EB73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接地棒及组件含安装测量</w:t>
            </w:r>
          </w:p>
        </w:tc>
        <w:tc>
          <w:tcPr>
            <w:tcW w:w="2697" w:type="pct"/>
            <w:shd w:val="clear" w:color="auto" w:fill="auto"/>
            <w:vAlign w:val="center"/>
          </w:tcPr>
          <w:p w14:paraId="298947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杆件、箱体等接地含材料，接地阻值不大于10Ω</w:t>
            </w:r>
          </w:p>
        </w:tc>
        <w:tc>
          <w:tcPr>
            <w:tcW w:w="299" w:type="pct"/>
            <w:shd w:val="clear" w:color="auto" w:fill="auto"/>
            <w:vAlign w:val="center"/>
          </w:tcPr>
          <w:p w14:paraId="5D0F51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97" w:type="pct"/>
            <w:shd w:val="clear" w:color="auto" w:fill="auto"/>
            <w:vAlign w:val="center"/>
          </w:tcPr>
          <w:p w14:paraId="71282E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w:t>
            </w:r>
          </w:p>
        </w:tc>
        <w:tc>
          <w:tcPr>
            <w:tcW w:w="603" w:type="pct"/>
            <w:shd w:val="clear" w:color="auto" w:fill="auto"/>
            <w:noWrap/>
            <w:vAlign w:val="center"/>
          </w:tcPr>
          <w:p w14:paraId="0CAD3928">
            <w:pPr>
              <w:rPr>
                <w:rFonts w:hint="eastAsia" w:ascii="宋体" w:hAnsi="宋体" w:eastAsia="宋体" w:cs="宋体"/>
                <w:i w:val="0"/>
                <w:iCs w:val="0"/>
                <w:color w:val="000000"/>
                <w:sz w:val="20"/>
                <w:szCs w:val="20"/>
                <w:u w:val="none"/>
              </w:rPr>
            </w:pPr>
          </w:p>
        </w:tc>
      </w:tr>
      <w:tr w14:paraId="3C950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91" w:type="pct"/>
            <w:shd w:val="clear" w:color="auto" w:fill="auto"/>
            <w:vAlign w:val="center"/>
          </w:tcPr>
          <w:p w14:paraId="317192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710" w:type="pct"/>
            <w:shd w:val="clear" w:color="auto" w:fill="auto"/>
            <w:vAlign w:val="center"/>
          </w:tcPr>
          <w:p w14:paraId="38E82A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电源线</w:t>
            </w:r>
          </w:p>
        </w:tc>
        <w:tc>
          <w:tcPr>
            <w:tcW w:w="2697" w:type="pct"/>
            <w:shd w:val="clear" w:color="auto" w:fill="auto"/>
            <w:vAlign w:val="center"/>
          </w:tcPr>
          <w:p w14:paraId="5967E3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国标，纯铜，RVV16*1.0</w:t>
            </w:r>
          </w:p>
        </w:tc>
        <w:tc>
          <w:tcPr>
            <w:tcW w:w="299" w:type="pct"/>
            <w:shd w:val="clear" w:color="auto" w:fill="auto"/>
            <w:vAlign w:val="center"/>
          </w:tcPr>
          <w:p w14:paraId="605F25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7" w:type="pct"/>
            <w:shd w:val="clear" w:color="auto" w:fill="auto"/>
            <w:vAlign w:val="center"/>
          </w:tcPr>
          <w:p w14:paraId="7608EE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17837</w:t>
            </w:r>
          </w:p>
        </w:tc>
        <w:tc>
          <w:tcPr>
            <w:tcW w:w="603" w:type="pct"/>
            <w:shd w:val="clear" w:color="auto" w:fill="auto"/>
            <w:noWrap/>
            <w:vAlign w:val="center"/>
          </w:tcPr>
          <w:p w14:paraId="1EAA6AC3">
            <w:pPr>
              <w:rPr>
                <w:rFonts w:hint="eastAsia" w:ascii="宋体" w:hAnsi="宋体" w:eastAsia="宋体" w:cs="宋体"/>
                <w:i w:val="0"/>
                <w:iCs w:val="0"/>
                <w:color w:val="000000"/>
                <w:sz w:val="20"/>
                <w:szCs w:val="20"/>
                <w:u w:val="none"/>
              </w:rPr>
            </w:pPr>
          </w:p>
        </w:tc>
      </w:tr>
      <w:tr w14:paraId="57D40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291" w:type="pct"/>
            <w:shd w:val="clear" w:color="auto" w:fill="auto"/>
            <w:vAlign w:val="center"/>
          </w:tcPr>
          <w:p w14:paraId="4193EF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710" w:type="pct"/>
            <w:shd w:val="clear" w:color="auto" w:fill="auto"/>
            <w:vAlign w:val="center"/>
          </w:tcPr>
          <w:p w14:paraId="389D0E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电源线</w:t>
            </w:r>
          </w:p>
        </w:tc>
        <w:tc>
          <w:tcPr>
            <w:tcW w:w="2697" w:type="pct"/>
            <w:shd w:val="clear" w:color="auto" w:fill="auto"/>
            <w:vAlign w:val="center"/>
          </w:tcPr>
          <w:p w14:paraId="102A74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国标，纯铜，RVV-6*1.0</w:t>
            </w:r>
          </w:p>
        </w:tc>
        <w:tc>
          <w:tcPr>
            <w:tcW w:w="299" w:type="pct"/>
            <w:shd w:val="clear" w:color="auto" w:fill="auto"/>
            <w:vAlign w:val="center"/>
          </w:tcPr>
          <w:p w14:paraId="19868A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7" w:type="pct"/>
            <w:shd w:val="clear" w:color="auto" w:fill="auto"/>
            <w:vAlign w:val="center"/>
          </w:tcPr>
          <w:p w14:paraId="561003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7025</w:t>
            </w:r>
          </w:p>
        </w:tc>
        <w:tc>
          <w:tcPr>
            <w:tcW w:w="603" w:type="pct"/>
            <w:shd w:val="clear" w:color="auto" w:fill="auto"/>
            <w:noWrap/>
            <w:vAlign w:val="center"/>
          </w:tcPr>
          <w:p w14:paraId="6ED97F3E">
            <w:pPr>
              <w:rPr>
                <w:rFonts w:hint="eastAsia" w:ascii="宋体" w:hAnsi="宋体" w:eastAsia="宋体" w:cs="宋体"/>
                <w:i w:val="0"/>
                <w:iCs w:val="0"/>
                <w:color w:val="000000"/>
                <w:sz w:val="20"/>
                <w:szCs w:val="20"/>
                <w:u w:val="none"/>
              </w:rPr>
            </w:pPr>
          </w:p>
        </w:tc>
      </w:tr>
      <w:tr w14:paraId="5E9D0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91" w:type="pct"/>
            <w:shd w:val="clear" w:color="auto" w:fill="auto"/>
            <w:vAlign w:val="center"/>
          </w:tcPr>
          <w:p w14:paraId="28EADF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710" w:type="pct"/>
            <w:shd w:val="clear" w:color="auto" w:fill="auto"/>
            <w:vAlign w:val="center"/>
          </w:tcPr>
          <w:p w14:paraId="5F753E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电源线</w:t>
            </w:r>
          </w:p>
        </w:tc>
        <w:tc>
          <w:tcPr>
            <w:tcW w:w="2697" w:type="pct"/>
            <w:shd w:val="clear" w:color="auto" w:fill="auto"/>
            <w:vAlign w:val="center"/>
          </w:tcPr>
          <w:p w14:paraId="042909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国标，纯铜，RVV-4*1.0</w:t>
            </w:r>
          </w:p>
        </w:tc>
        <w:tc>
          <w:tcPr>
            <w:tcW w:w="299" w:type="pct"/>
            <w:shd w:val="clear" w:color="auto" w:fill="auto"/>
            <w:vAlign w:val="center"/>
          </w:tcPr>
          <w:p w14:paraId="22D7AF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7" w:type="pct"/>
            <w:shd w:val="clear" w:color="auto" w:fill="auto"/>
            <w:vAlign w:val="center"/>
          </w:tcPr>
          <w:p w14:paraId="427506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13920</w:t>
            </w:r>
          </w:p>
        </w:tc>
        <w:tc>
          <w:tcPr>
            <w:tcW w:w="603" w:type="pct"/>
            <w:shd w:val="clear" w:color="auto" w:fill="auto"/>
            <w:noWrap/>
            <w:vAlign w:val="center"/>
          </w:tcPr>
          <w:p w14:paraId="1DBCD45A">
            <w:pPr>
              <w:rPr>
                <w:rFonts w:hint="eastAsia" w:ascii="宋体" w:hAnsi="宋体" w:eastAsia="宋体" w:cs="宋体"/>
                <w:i w:val="0"/>
                <w:iCs w:val="0"/>
                <w:color w:val="000000"/>
                <w:sz w:val="20"/>
                <w:szCs w:val="20"/>
                <w:u w:val="none"/>
              </w:rPr>
            </w:pPr>
          </w:p>
        </w:tc>
      </w:tr>
      <w:tr w14:paraId="7CBA1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91" w:type="pct"/>
            <w:shd w:val="clear" w:color="auto" w:fill="auto"/>
            <w:vAlign w:val="center"/>
          </w:tcPr>
          <w:p w14:paraId="57D4D8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710" w:type="pct"/>
            <w:shd w:val="clear" w:color="auto" w:fill="auto"/>
            <w:vAlign w:val="center"/>
          </w:tcPr>
          <w:p w14:paraId="3E9738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485线</w:t>
            </w:r>
          </w:p>
        </w:tc>
        <w:tc>
          <w:tcPr>
            <w:tcW w:w="2697" w:type="pct"/>
            <w:shd w:val="clear" w:color="auto" w:fill="auto"/>
            <w:vAlign w:val="center"/>
          </w:tcPr>
          <w:p w14:paraId="1A6810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国标，纯铜，RVVP-2*1.0mm²</w:t>
            </w:r>
          </w:p>
        </w:tc>
        <w:tc>
          <w:tcPr>
            <w:tcW w:w="299" w:type="pct"/>
            <w:shd w:val="clear" w:color="auto" w:fill="auto"/>
            <w:vAlign w:val="center"/>
          </w:tcPr>
          <w:p w14:paraId="544BC9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7" w:type="pct"/>
            <w:shd w:val="clear" w:color="auto" w:fill="auto"/>
            <w:vAlign w:val="center"/>
          </w:tcPr>
          <w:p w14:paraId="56DC7E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21307</w:t>
            </w:r>
          </w:p>
        </w:tc>
        <w:tc>
          <w:tcPr>
            <w:tcW w:w="603" w:type="pct"/>
            <w:shd w:val="clear" w:color="auto" w:fill="auto"/>
            <w:noWrap/>
            <w:vAlign w:val="center"/>
          </w:tcPr>
          <w:p w14:paraId="79B6CBE5">
            <w:pPr>
              <w:rPr>
                <w:rFonts w:hint="eastAsia" w:ascii="宋体" w:hAnsi="宋体" w:eastAsia="宋体" w:cs="宋体"/>
                <w:i w:val="0"/>
                <w:iCs w:val="0"/>
                <w:color w:val="000000"/>
                <w:sz w:val="20"/>
                <w:szCs w:val="20"/>
                <w:u w:val="none"/>
              </w:rPr>
            </w:pPr>
          </w:p>
        </w:tc>
      </w:tr>
      <w:tr w14:paraId="5E301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91" w:type="pct"/>
            <w:shd w:val="clear" w:color="auto" w:fill="auto"/>
            <w:vAlign w:val="center"/>
          </w:tcPr>
          <w:p w14:paraId="2AE364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710" w:type="pct"/>
            <w:shd w:val="clear" w:color="auto" w:fill="auto"/>
            <w:vAlign w:val="center"/>
          </w:tcPr>
          <w:p w14:paraId="6B9480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电源线</w:t>
            </w:r>
          </w:p>
        </w:tc>
        <w:tc>
          <w:tcPr>
            <w:tcW w:w="2697" w:type="pct"/>
            <w:shd w:val="clear" w:color="auto" w:fill="auto"/>
            <w:vAlign w:val="center"/>
          </w:tcPr>
          <w:p w14:paraId="1283E6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国标，纯铜，RVV-2*10</w:t>
            </w:r>
          </w:p>
        </w:tc>
        <w:tc>
          <w:tcPr>
            <w:tcW w:w="299" w:type="pct"/>
            <w:shd w:val="clear" w:color="auto" w:fill="auto"/>
            <w:vAlign w:val="center"/>
          </w:tcPr>
          <w:p w14:paraId="1386A5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7" w:type="pct"/>
            <w:shd w:val="clear" w:color="auto" w:fill="auto"/>
            <w:vAlign w:val="center"/>
          </w:tcPr>
          <w:p w14:paraId="2C7418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6895</w:t>
            </w:r>
          </w:p>
        </w:tc>
        <w:tc>
          <w:tcPr>
            <w:tcW w:w="603" w:type="pct"/>
            <w:shd w:val="clear" w:color="auto" w:fill="auto"/>
            <w:noWrap/>
            <w:vAlign w:val="center"/>
          </w:tcPr>
          <w:p w14:paraId="6A570B45">
            <w:pPr>
              <w:rPr>
                <w:rFonts w:hint="eastAsia" w:ascii="宋体" w:hAnsi="宋体" w:eastAsia="宋体" w:cs="宋体"/>
                <w:i w:val="0"/>
                <w:iCs w:val="0"/>
                <w:color w:val="000000"/>
                <w:sz w:val="20"/>
                <w:szCs w:val="20"/>
                <w:u w:val="none"/>
              </w:rPr>
            </w:pPr>
          </w:p>
        </w:tc>
      </w:tr>
      <w:tr w14:paraId="18849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91" w:type="pct"/>
            <w:shd w:val="clear" w:color="auto" w:fill="auto"/>
            <w:vAlign w:val="center"/>
          </w:tcPr>
          <w:p w14:paraId="13912A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710" w:type="pct"/>
            <w:shd w:val="clear" w:color="auto" w:fill="auto"/>
            <w:vAlign w:val="center"/>
          </w:tcPr>
          <w:p w14:paraId="0B9A8B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电源线</w:t>
            </w:r>
          </w:p>
        </w:tc>
        <w:tc>
          <w:tcPr>
            <w:tcW w:w="2697" w:type="pct"/>
            <w:shd w:val="clear" w:color="auto" w:fill="auto"/>
            <w:vAlign w:val="center"/>
          </w:tcPr>
          <w:p w14:paraId="64E2E8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国标，纯铜，RVV-2*6</w:t>
            </w:r>
          </w:p>
        </w:tc>
        <w:tc>
          <w:tcPr>
            <w:tcW w:w="299" w:type="pct"/>
            <w:shd w:val="clear" w:color="auto" w:fill="auto"/>
            <w:vAlign w:val="center"/>
          </w:tcPr>
          <w:p w14:paraId="3E8BD7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7" w:type="pct"/>
            <w:shd w:val="clear" w:color="auto" w:fill="auto"/>
            <w:vAlign w:val="center"/>
          </w:tcPr>
          <w:p w14:paraId="3643BB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4546</w:t>
            </w:r>
          </w:p>
        </w:tc>
        <w:tc>
          <w:tcPr>
            <w:tcW w:w="603" w:type="pct"/>
            <w:shd w:val="clear" w:color="auto" w:fill="auto"/>
            <w:noWrap/>
            <w:vAlign w:val="center"/>
          </w:tcPr>
          <w:p w14:paraId="39F21D5F">
            <w:pPr>
              <w:rPr>
                <w:rFonts w:hint="eastAsia" w:ascii="宋体" w:hAnsi="宋体" w:eastAsia="宋体" w:cs="宋体"/>
                <w:i w:val="0"/>
                <w:iCs w:val="0"/>
                <w:color w:val="000000"/>
                <w:sz w:val="20"/>
                <w:szCs w:val="20"/>
                <w:u w:val="none"/>
              </w:rPr>
            </w:pPr>
          </w:p>
        </w:tc>
      </w:tr>
      <w:tr w14:paraId="08BCB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91" w:type="pct"/>
            <w:shd w:val="clear" w:color="auto" w:fill="auto"/>
            <w:vAlign w:val="center"/>
          </w:tcPr>
          <w:p w14:paraId="540DA9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710" w:type="pct"/>
            <w:shd w:val="clear" w:color="auto" w:fill="auto"/>
            <w:vAlign w:val="center"/>
          </w:tcPr>
          <w:p w14:paraId="0C9584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接线端子</w:t>
            </w:r>
          </w:p>
        </w:tc>
        <w:tc>
          <w:tcPr>
            <w:tcW w:w="2697" w:type="pct"/>
            <w:shd w:val="clear" w:color="auto" w:fill="auto"/>
            <w:vAlign w:val="center"/>
          </w:tcPr>
          <w:p w14:paraId="3ADFFB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国标，室外，</w:t>
            </w:r>
          </w:p>
        </w:tc>
        <w:tc>
          <w:tcPr>
            <w:tcW w:w="299" w:type="pct"/>
            <w:shd w:val="clear" w:color="auto" w:fill="auto"/>
            <w:vAlign w:val="center"/>
          </w:tcPr>
          <w:p w14:paraId="4C2341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7" w:type="pct"/>
            <w:shd w:val="clear" w:color="auto" w:fill="auto"/>
            <w:vAlign w:val="center"/>
          </w:tcPr>
          <w:p w14:paraId="7265C7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607</w:t>
            </w:r>
          </w:p>
        </w:tc>
        <w:tc>
          <w:tcPr>
            <w:tcW w:w="603" w:type="pct"/>
            <w:shd w:val="clear" w:color="auto" w:fill="auto"/>
            <w:noWrap/>
            <w:vAlign w:val="center"/>
          </w:tcPr>
          <w:p w14:paraId="075EB663">
            <w:pPr>
              <w:rPr>
                <w:rFonts w:hint="eastAsia" w:ascii="宋体" w:hAnsi="宋体" w:eastAsia="宋体" w:cs="宋体"/>
                <w:i w:val="0"/>
                <w:iCs w:val="0"/>
                <w:color w:val="000000"/>
                <w:sz w:val="20"/>
                <w:szCs w:val="20"/>
                <w:u w:val="none"/>
              </w:rPr>
            </w:pPr>
          </w:p>
        </w:tc>
      </w:tr>
      <w:tr w14:paraId="5B1B2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0" w:hRule="atLeast"/>
        </w:trPr>
        <w:tc>
          <w:tcPr>
            <w:tcW w:w="291" w:type="pct"/>
            <w:shd w:val="clear" w:color="auto" w:fill="auto"/>
            <w:noWrap/>
            <w:vAlign w:val="center"/>
          </w:tcPr>
          <w:p w14:paraId="7006B541">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三</w:t>
            </w:r>
          </w:p>
        </w:tc>
        <w:tc>
          <w:tcPr>
            <w:tcW w:w="4105" w:type="pct"/>
            <w:gridSpan w:val="4"/>
            <w:shd w:val="clear" w:color="auto" w:fill="auto"/>
            <w:noWrap/>
            <w:vAlign w:val="center"/>
          </w:tcPr>
          <w:p w14:paraId="570B5376">
            <w:pPr>
              <w:keepNext w:val="0"/>
              <w:keepLines w:val="0"/>
              <w:widowControl/>
              <w:suppressLineNumbers w:val="0"/>
              <w:jc w:val="left"/>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基建部分</w:t>
            </w:r>
          </w:p>
        </w:tc>
        <w:tc>
          <w:tcPr>
            <w:tcW w:w="603" w:type="pct"/>
            <w:shd w:val="clear" w:color="auto" w:fill="auto"/>
            <w:noWrap/>
            <w:vAlign w:val="center"/>
          </w:tcPr>
          <w:p w14:paraId="5B602B5F">
            <w:pPr>
              <w:jc w:val="center"/>
              <w:rPr>
                <w:rFonts w:hint="eastAsia" w:ascii="微软雅黑" w:hAnsi="微软雅黑" w:eastAsia="微软雅黑" w:cs="微软雅黑"/>
                <w:b/>
                <w:bCs/>
                <w:i w:val="0"/>
                <w:iCs w:val="0"/>
                <w:color w:val="000000"/>
                <w:sz w:val="20"/>
                <w:szCs w:val="20"/>
                <w:u w:val="none"/>
              </w:rPr>
            </w:pPr>
          </w:p>
        </w:tc>
      </w:tr>
      <w:tr w14:paraId="5B133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91" w:type="pct"/>
            <w:shd w:val="clear" w:color="auto" w:fill="auto"/>
            <w:vAlign w:val="center"/>
          </w:tcPr>
          <w:p w14:paraId="65CF18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710" w:type="pct"/>
            <w:shd w:val="clear" w:color="auto" w:fill="auto"/>
            <w:vAlign w:val="center"/>
          </w:tcPr>
          <w:p w14:paraId="19963D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落地箱（柜）基座</w:t>
            </w:r>
          </w:p>
        </w:tc>
        <w:tc>
          <w:tcPr>
            <w:tcW w:w="2697" w:type="pct"/>
            <w:shd w:val="clear" w:color="auto" w:fill="auto"/>
            <w:vAlign w:val="center"/>
          </w:tcPr>
          <w:p w14:paraId="45F688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落地箱及信号机基座，按《公安交通管理外场设备基础施工通用要求》实施</w:t>
            </w:r>
          </w:p>
        </w:tc>
        <w:tc>
          <w:tcPr>
            <w:tcW w:w="299" w:type="pct"/>
            <w:shd w:val="clear" w:color="auto" w:fill="auto"/>
            <w:vAlign w:val="center"/>
          </w:tcPr>
          <w:p w14:paraId="6BC2DF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w:t>
            </w:r>
          </w:p>
        </w:tc>
        <w:tc>
          <w:tcPr>
            <w:tcW w:w="397" w:type="pct"/>
            <w:shd w:val="clear" w:color="auto" w:fill="auto"/>
            <w:vAlign w:val="center"/>
          </w:tcPr>
          <w:p w14:paraId="4A8F89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603" w:type="pct"/>
            <w:shd w:val="clear" w:color="auto" w:fill="auto"/>
            <w:vAlign w:val="center"/>
          </w:tcPr>
          <w:p w14:paraId="59DBB579">
            <w:pPr>
              <w:jc w:val="center"/>
              <w:rPr>
                <w:rFonts w:hint="eastAsia" w:ascii="宋体" w:hAnsi="宋体" w:eastAsia="宋体" w:cs="宋体"/>
                <w:i w:val="0"/>
                <w:iCs w:val="0"/>
                <w:color w:val="000000"/>
                <w:sz w:val="20"/>
                <w:szCs w:val="20"/>
                <w:u w:val="none"/>
              </w:rPr>
            </w:pPr>
          </w:p>
        </w:tc>
      </w:tr>
      <w:tr w14:paraId="05E7F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291" w:type="pct"/>
            <w:shd w:val="clear" w:color="auto" w:fill="auto"/>
            <w:vAlign w:val="center"/>
          </w:tcPr>
          <w:p w14:paraId="66E2E8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710" w:type="pct"/>
            <w:shd w:val="clear" w:color="auto" w:fill="auto"/>
            <w:vAlign w:val="center"/>
          </w:tcPr>
          <w:p w14:paraId="2CBB5A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砖砌手井（含手井圈、盖）</w:t>
            </w:r>
          </w:p>
        </w:tc>
        <w:tc>
          <w:tcPr>
            <w:tcW w:w="2697" w:type="pct"/>
            <w:shd w:val="clear" w:color="auto" w:fill="auto"/>
            <w:vAlign w:val="center"/>
          </w:tcPr>
          <w:p w14:paraId="6E47A7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299" w:type="pct"/>
            <w:shd w:val="clear" w:color="auto" w:fill="auto"/>
            <w:vAlign w:val="center"/>
          </w:tcPr>
          <w:p w14:paraId="569851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97" w:type="pct"/>
            <w:shd w:val="clear" w:color="auto" w:fill="auto"/>
            <w:vAlign w:val="center"/>
          </w:tcPr>
          <w:p w14:paraId="4CB2AA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681</w:t>
            </w:r>
          </w:p>
        </w:tc>
        <w:tc>
          <w:tcPr>
            <w:tcW w:w="603" w:type="pct"/>
            <w:shd w:val="clear" w:color="auto" w:fill="auto"/>
            <w:vAlign w:val="center"/>
          </w:tcPr>
          <w:p w14:paraId="647412BD">
            <w:pPr>
              <w:jc w:val="center"/>
              <w:rPr>
                <w:rFonts w:hint="eastAsia" w:ascii="宋体" w:hAnsi="宋体" w:eastAsia="宋体" w:cs="宋体"/>
                <w:i w:val="0"/>
                <w:iCs w:val="0"/>
                <w:color w:val="000000"/>
                <w:sz w:val="20"/>
                <w:szCs w:val="20"/>
                <w:u w:val="none"/>
              </w:rPr>
            </w:pPr>
          </w:p>
        </w:tc>
      </w:tr>
      <w:tr w14:paraId="6AC02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91" w:type="pct"/>
            <w:shd w:val="clear" w:color="auto" w:fill="auto"/>
            <w:vAlign w:val="center"/>
          </w:tcPr>
          <w:p w14:paraId="769B36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710" w:type="pct"/>
            <w:shd w:val="clear" w:color="auto" w:fill="auto"/>
            <w:vAlign w:val="center"/>
          </w:tcPr>
          <w:p w14:paraId="5F6CC64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过路顶管2孔Φ50</w:t>
            </w:r>
          </w:p>
        </w:tc>
        <w:tc>
          <w:tcPr>
            <w:tcW w:w="2697" w:type="pct"/>
            <w:shd w:val="clear" w:color="auto" w:fill="auto"/>
            <w:vAlign w:val="center"/>
          </w:tcPr>
          <w:p w14:paraId="29FEBA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按《公安交通管理外场设备基础施工通用要求》实施</w:t>
            </w:r>
          </w:p>
        </w:tc>
        <w:tc>
          <w:tcPr>
            <w:tcW w:w="299" w:type="pct"/>
            <w:shd w:val="clear" w:color="auto" w:fill="auto"/>
            <w:vAlign w:val="center"/>
          </w:tcPr>
          <w:p w14:paraId="699127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7" w:type="pct"/>
            <w:shd w:val="clear" w:color="auto" w:fill="auto"/>
            <w:vAlign w:val="center"/>
          </w:tcPr>
          <w:p w14:paraId="5DB0FC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14812</w:t>
            </w:r>
          </w:p>
        </w:tc>
        <w:tc>
          <w:tcPr>
            <w:tcW w:w="603" w:type="pct"/>
            <w:shd w:val="clear" w:color="auto" w:fill="auto"/>
            <w:vAlign w:val="center"/>
          </w:tcPr>
          <w:p w14:paraId="4F70A294">
            <w:pPr>
              <w:jc w:val="center"/>
              <w:rPr>
                <w:rFonts w:hint="eastAsia" w:ascii="宋体" w:hAnsi="宋体" w:eastAsia="宋体" w:cs="宋体"/>
                <w:i w:val="0"/>
                <w:iCs w:val="0"/>
                <w:color w:val="000000"/>
                <w:sz w:val="20"/>
                <w:szCs w:val="20"/>
                <w:u w:val="none"/>
              </w:rPr>
            </w:pPr>
          </w:p>
        </w:tc>
      </w:tr>
      <w:tr w14:paraId="567CD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91" w:type="pct"/>
            <w:shd w:val="clear" w:color="auto" w:fill="auto"/>
            <w:vAlign w:val="center"/>
          </w:tcPr>
          <w:p w14:paraId="2E13C1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710" w:type="pct"/>
            <w:shd w:val="clear" w:color="auto" w:fill="auto"/>
            <w:vAlign w:val="center"/>
          </w:tcPr>
          <w:p w14:paraId="78823A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切路</w:t>
            </w:r>
          </w:p>
        </w:tc>
        <w:tc>
          <w:tcPr>
            <w:tcW w:w="2697" w:type="pct"/>
            <w:shd w:val="clear" w:color="auto" w:fill="auto"/>
            <w:vAlign w:val="center"/>
          </w:tcPr>
          <w:p w14:paraId="3F7064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按《公安交通管理外场设备基础施工通用要求》实施</w:t>
            </w:r>
          </w:p>
        </w:tc>
        <w:tc>
          <w:tcPr>
            <w:tcW w:w="299" w:type="pct"/>
            <w:shd w:val="clear" w:color="auto" w:fill="auto"/>
            <w:vAlign w:val="center"/>
          </w:tcPr>
          <w:p w14:paraId="352956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7" w:type="pct"/>
            <w:shd w:val="clear" w:color="auto" w:fill="auto"/>
            <w:vAlign w:val="center"/>
          </w:tcPr>
          <w:p w14:paraId="315197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1836</w:t>
            </w:r>
          </w:p>
        </w:tc>
        <w:tc>
          <w:tcPr>
            <w:tcW w:w="603" w:type="pct"/>
            <w:shd w:val="clear" w:color="auto" w:fill="auto"/>
            <w:vAlign w:val="center"/>
          </w:tcPr>
          <w:p w14:paraId="59ECD222">
            <w:pPr>
              <w:jc w:val="center"/>
              <w:rPr>
                <w:rFonts w:hint="eastAsia" w:ascii="宋体" w:hAnsi="宋体" w:eastAsia="宋体" w:cs="宋体"/>
                <w:i w:val="0"/>
                <w:iCs w:val="0"/>
                <w:color w:val="000000"/>
                <w:sz w:val="20"/>
                <w:szCs w:val="20"/>
                <w:u w:val="none"/>
              </w:rPr>
            </w:pPr>
          </w:p>
        </w:tc>
      </w:tr>
      <w:tr w14:paraId="375F9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91" w:type="pct"/>
            <w:shd w:val="clear" w:color="auto" w:fill="auto"/>
            <w:vAlign w:val="center"/>
          </w:tcPr>
          <w:p w14:paraId="52254C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710" w:type="pct"/>
            <w:shd w:val="clear" w:color="auto" w:fill="auto"/>
            <w:vAlign w:val="center"/>
          </w:tcPr>
          <w:p w14:paraId="48A870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管道沟通2孔Φ50</w:t>
            </w:r>
          </w:p>
        </w:tc>
        <w:tc>
          <w:tcPr>
            <w:tcW w:w="2697" w:type="pct"/>
            <w:shd w:val="clear" w:color="auto" w:fill="auto"/>
            <w:vAlign w:val="center"/>
          </w:tcPr>
          <w:p w14:paraId="5A9344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按《公安交通管理外场设备基础施工通用要求》实施</w:t>
            </w:r>
          </w:p>
        </w:tc>
        <w:tc>
          <w:tcPr>
            <w:tcW w:w="299" w:type="pct"/>
            <w:shd w:val="clear" w:color="auto" w:fill="auto"/>
            <w:vAlign w:val="center"/>
          </w:tcPr>
          <w:p w14:paraId="370609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7" w:type="pct"/>
            <w:shd w:val="clear" w:color="auto" w:fill="auto"/>
            <w:vAlign w:val="center"/>
          </w:tcPr>
          <w:p w14:paraId="650459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10069</w:t>
            </w:r>
          </w:p>
        </w:tc>
        <w:tc>
          <w:tcPr>
            <w:tcW w:w="603" w:type="pct"/>
            <w:shd w:val="clear" w:color="auto" w:fill="auto"/>
            <w:vAlign w:val="center"/>
          </w:tcPr>
          <w:p w14:paraId="2582010A">
            <w:pPr>
              <w:jc w:val="center"/>
              <w:rPr>
                <w:rFonts w:hint="eastAsia" w:ascii="宋体" w:hAnsi="宋体" w:eastAsia="宋体" w:cs="宋体"/>
                <w:i w:val="0"/>
                <w:iCs w:val="0"/>
                <w:color w:val="000000"/>
                <w:sz w:val="20"/>
                <w:szCs w:val="20"/>
                <w:u w:val="none"/>
              </w:rPr>
            </w:pPr>
          </w:p>
        </w:tc>
      </w:tr>
      <w:tr w14:paraId="534B4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91" w:type="pct"/>
            <w:shd w:val="clear" w:color="auto" w:fill="auto"/>
            <w:vAlign w:val="center"/>
          </w:tcPr>
          <w:p w14:paraId="616DAA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710" w:type="pct"/>
            <w:shd w:val="clear" w:color="auto" w:fill="auto"/>
            <w:vAlign w:val="center"/>
          </w:tcPr>
          <w:p w14:paraId="4F5273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绿化恢复及道路恢复</w:t>
            </w:r>
          </w:p>
        </w:tc>
        <w:tc>
          <w:tcPr>
            <w:tcW w:w="2697" w:type="pct"/>
            <w:shd w:val="clear" w:color="auto" w:fill="auto"/>
            <w:vAlign w:val="center"/>
          </w:tcPr>
          <w:p w14:paraId="2DFB60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恢复现有道路、绿化及青苗费用</w:t>
            </w:r>
          </w:p>
        </w:tc>
        <w:tc>
          <w:tcPr>
            <w:tcW w:w="299" w:type="pct"/>
            <w:shd w:val="clear" w:color="auto" w:fill="auto"/>
            <w:vAlign w:val="center"/>
          </w:tcPr>
          <w:p w14:paraId="21BB28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397" w:type="pct"/>
            <w:shd w:val="clear" w:color="auto" w:fill="auto"/>
            <w:vAlign w:val="center"/>
          </w:tcPr>
          <w:p w14:paraId="33F3E8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03" w:type="pct"/>
            <w:shd w:val="clear" w:color="auto" w:fill="auto"/>
            <w:vAlign w:val="center"/>
          </w:tcPr>
          <w:p w14:paraId="66F6D7A4">
            <w:pPr>
              <w:jc w:val="center"/>
              <w:rPr>
                <w:rFonts w:hint="eastAsia" w:ascii="宋体" w:hAnsi="宋体" w:eastAsia="宋体" w:cs="宋体"/>
                <w:i w:val="0"/>
                <w:iCs w:val="0"/>
                <w:color w:val="000000"/>
                <w:sz w:val="20"/>
                <w:szCs w:val="20"/>
                <w:u w:val="none"/>
              </w:rPr>
            </w:pPr>
          </w:p>
        </w:tc>
      </w:tr>
      <w:tr w14:paraId="622F1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91" w:type="pct"/>
            <w:shd w:val="clear" w:color="auto" w:fill="auto"/>
            <w:vAlign w:val="center"/>
          </w:tcPr>
          <w:p w14:paraId="7FFFDD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710" w:type="pct"/>
            <w:shd w:val="clear" w:color="auto" w:fill="auto"/>
            <w:vAlign w:val="center"/>
          </w:tcPr>
          <w:p w14:paraId="22323F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架空沟通</w:t>
            </w:r>
          </w:p>
        </w:tc>
        <w:tc>
          <w:tcPr>
            <w:tcW w:w="2697" w:type="pct"/>
            <w:shd w:val="clear" w:color="auto" w:fill="auto"/>
            <w:vAlign w:val="center"/>
          </w:tcPr>
          <w:p w14:paraId="0EE0CA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热镀锌钢绞线7*2.0φ6mm（含配件，架空）</w:t>
            </w:r>
          </w:p>
        </w:tc>
        <w:tc>
          <w:tcPr>
            <w:tcW w:w="299" w:type="pct"/>
            <w:shd w:val="clear" w:color="auto" w:fill="auto"/>
            <w:vAlign w:val="center"/>
          </w:tcPr>
          <w:p w14:paraId="07B108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7" w:type="pct"/>
            <w:shd w:val="clear" w:color="auto" w:fill="auto"/>
            <w:vAlign w:val="center"/>
          </w:tcPr>
          <w:p w14:paraId="07E55F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395</w:t>
            </w:r>
          </w:p>
        </w:tc>
        <w:tc>
          <w:tcPr>
            <w:tcW w:w="603" w:type="pct"/>
            <w:shd w:val="clear" w:color="auto" w:fill="auto"/>
            <w:vAlign w:val="center"/>
          </w:tcPr>
          <w:p w14:paraId="37230315">
            <w:pPr>
              <w:jc w:val="center"/>
              <w:rPr>
                <w:rFonts w:hint="eastAsia" w:ascii="宋体" w:hAnsi="宋体" w:eastAsia="宋体" w:cs="宋体"/>
                <w:i w:val="0"/>
                <w:iCs w:val="0"/>
                <w:color w:val="000000"/>
                <w:sz w:val="20"/>
                <w:szCs w:val="20"/>
                <w:u w:val="none"/>
              </w:rPr>
            </w:pPr>
          </w:p>
        </w:tc>
      </w:tr>
      <w:tr w14:paraId="2BA6E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91" w:type="pct"/>
            <w:shd w:val="clear" w:color="auto" w:fill="auto"/>
            <w:vAlign w:val="center"/>
          </w:tcPr>
          <w:p w14:paraId="24E81F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710" w:type="pct"/>
            <w:shd w:val="clear" w:color="auto" w:fill="auto"/>
            <w:vAlign w:val="center"/>
          </w:tcPr>
          <w:p w14:paraId="0AF936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线缆敷设</w:t>
            </w:r>
          </w:p>
        </w:tc>
        <w:tc>
          <w:tcPr>
            <w:tcW w:w="2697" w:type="pct"/>
            <w:shd w:val="clear" w:color="auto" w:fill="FFFFFF"/>
            <w:vAlign w:val="center"/>
          </w:tcPr>
          <w:p w14:paraId="047F99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按《公安交通管理外场设备基础施工通用要求》实施</w:t>
            </w:r>
          </w:p>
        </w:tc>
        <w:tc>
          <w:tcPr>
            <w:tcW w:w="299" w:type="pct"/>
            <w:shd w:val="clear" w:color="auto" w:fill="FFFFFF"/>
            <w:vAlign w:val="center"/>
          </w:tcPr>
          <w:p w14:paraId="5547C1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7" w:type="pct"/>
            <w:shd w:val="clear" w:color="auto" w:fill="auto"/>
            <w:vAlign w:val="center"/>
          </w:tcPr>
          <w:p w14:paraId="3F9C80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66984</w:t>
            </w:r>
          </w:p>
        </w:tc>
        <w:tc>
          <w:tcPr>
            <w:tcW w:w="603" w:type="pct"/>
            <w:shd w:val="clear" w:color="auto" w:fill="auto"/>
            <w:vAlign w:val="center"/>
          </w:tcPr>
          <w:p w14:paraId="1E8BCFDF">
            <w:pPr>
              <w:jc w:val="center"/>
              <w:rPr>
                <w:rFonts w:hint="eastAsia" w:ascii="宋体" w:hAnsi="宋体" w:eastAsia="宋体" w:cs="宋体"/>
                <w:i w:val="0"/>
                <w:iCs w:val="0"/>
                <w:color w:val="000000"/>
                <w:sz w:val="20"/>
                <w:szCs w:val="20"/>
                <w:u w:val="none"/>
              </w:rPr>
            </w:pPr>
          </w:p>
        </w:tc>
      </w:tr>
      <w:tr w14:paraId="06785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91" w:type="pct"/>
            <w:shd w:val="clear" w:color="auto" w:fill="auto"/>
            <w:noWrap/>
            <w:vAlign w:val="center"/>
          </w:tcPr>
          <w:p w14:paraId="51311FF8">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四</w:t>
            </w:r>
          </w:p>
        </w:tc>
        <w:tc>
          <w:tcPr>
            <w:tcW w:w="4105" w:type="pct"/>
            <w:gridSpan w:val="4"/>
            <w:shd w:val="clear" w:color="auto" w:fill="auto"/>
            <w:noWrap/>
            <w:vAlign w:val="center"/>
          </w:tcPr>
          <w:p w14:paraId="17B37084">
            <w:pPr>
              <w:keepNext w:val="0"/>
              <w:keepLines w:val="0"/>
              <w:widowControl/>
              <w:suppressLineNumbers w:val="0"/>
              <w:jc w:val="left"/>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其他</w:t>
            </w:r>
          </w:p>
        </w:tc>
        <w:tc>
          <w:tcPr>
            <w:tcW w:w="603" w:type="pct"/>
            <w:shd w:val="clear" w:color="auto" w:fill="auto"/>
            <w:vAlign w:val="center"/>
          </w:tcPr>
          <w:p w14:paraId="175C4C7C">
            <w:pPr>
              <w:jc w:val="center"/>
              <w:rPr>
                <w:rFonts w:hint="eastAsia" w:ascii="宋体" w:hAnsi="宋体" w:eastAsia="宋体" w:cs="宋体"/>
                <w:i w:val="0"/>
                <w:iCs w:val="0"/>
                <w:color w:val="000000"/>
                <w:sz w:val="20"/>
                <w:szCs w:val="20"/>
                <w:u w:val="none"/>
              </w:rPr>
            </w:pPr>
          </w:p>
        </w:tc>
      </w:tr>
      <w:tr w14:paraId="1E4FC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91" w:type="pct"/>
            <w:shd w:val="clear" w:color="auto" w:fill="auto"/>
            <w:vAlign w:val="center"/>
          </w:tcPr>
          <w:p w14:paraId="09D296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710" w:type="pct"/>
            <w:shd w:val="clear" w:color="auto" w:fill="auto"/>
            <w:vAlign w:val="center"/>
          </w:tcPr>
          <w:p w14:paraId="75E11C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光纤租赁</w:t>
            </w:r>
          </w:p>
        </w:tc>
        <w:tc>
          <w:tcPr>
            <w:tcW w:w="2697" w:type="pct"/>
            <w:shd w:val="clear" w:color="auto" w:fill="auto"/>
            <w:vAlign w:val="center"/>
          </w:tcPr>
          <w:p w14:paraId="76498F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本系统所有建设点位租赁运营商光纤链路，不低于千兆带宽，5年租赁费用。</w:t>
            </w:r>
          </w:p>
        </w:tc>
        <w:tc>
          <w:tcPr>
            <w:tcW w:w="299" w:type="pct"/>
            <w:shd w:val="clear" w:color="auto" w:fill="auto"/>
            <w:vAlign w:val="center"/>
          </w:tcPr>
          <w:p w14:paraId="38F416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397" w:type="pct"/>
            <w:shd w:val="clear" w:color="auto" w:fill="auto"/>
            <w:vAlign w:val="center"/>
          </w:tcPr>
          <w:p w14:paraId="394BAA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03" w:type="pct"/>
            <w:shd w:val="clear" w:color="auto" w:fill="auto"/>
            <w:vAlign w:val="center"/>
          </w:tcPr>
          <w:p w14:paraId="2E67823E">
            <w:pPr>
              <w:jc w:val="center"/>
              <w:rPr>
                <w:rFonts w:hint="eastAsia" w:ascii="宋体" w:hAnsi="宋体" w:eastAsia="宋体" w:cs="宋体"/>
                <w:i w:val="0"/>
                <w:iCs w:val="0"/>
                <w:color w:val="000000"/>
                <w:sz w:val="20"/>
                <w:szCs w:val="20"/>
                <w:u w:val="none"/>
              </w:rPr>
            </w:pPr>
          </w:p>
        </w:tc>
      </w:tr>
      <w:tr w14:paraId="755DC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trPr>
        <w:tc>
          <w:tcPr>
            <w:tcW w:w="291" w:type="pct"/>
            <w:shd w:val="clear" w:color="auto" w:fill="auto"/>
            <w:vAlign w:val="center"/>
          </w:tcPr>
          <w:p w14:paraId="040830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710" w:type="pct"/>
            <w:shd w:val="clear" w:color="auto" w:fill="auto"/>
            <w:vAlign w:val="center"/>
          </w:tcPr>
          <w:p w14:paraId="47066E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供电开户、安装接入施工</w:t>
            </w:r>
          </w:p>
        </w:tc>
        <w:tc>
          <w:tcPr>
            <w:tcW w:w="2697" w:type="pct"/>
            <w:shd w:val="clear" w:color="auto" w:fill="auto"/>
            <w:vAlign w:val="center"/>
          </w:tcPr>
          <w:p w14:paraId="293519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根据现场情况自行踏勘确认所有建设点位，需供电开户的数量，含勘查、材料、施工、供电部门验收等所有费用，根据供电部门要求进行实施，电源缆线不低于10平方</w:t>
            </w:r>
          </w:p>
        </w:tc>
        <w:tc>
          <w:tcPr>
            <w:tcW w:w="299" w:type="pct"/>
            <w:shd w:val="clear" w:color="auto" w:fill="auto"/>
            <w:vAlign w:val="center"/>
          </w:tcPr>
          <w:p w14:paraId="447C34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397" w:type="pct"/>
            <w:shd w:val="clear" w:color="auto" w:fill="auto"/>
            <w:vAlign w:val="center"/>
          </w:tcPr>
          <w:p w14:paraId="0A17B8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603" w:type="pct"/>
            <w:shd w:val="clear" w:color="auto" w:fill="auto"/>
            <w:vAlign w:val="center"/>
          </w:tcPr>
          <w:p w14:paraId="24302C91">
            <w:pPr>
              <w:jc w:val="center"/>
              <w:rPr>
                <w:rFonts w:hint="eastAsia" w:ascii="宋体" w:hAnsi="宋体" w:eastAsia="宋体" w:cs="宋体"/>
                <w:i w:val="0"/>
                <w:iCs w:val="0"/>
                <w:color w:val="000000"/>
                <w:sz w:val="20"/>
                <w:szCs w:val="20"/>
                <w:u w:val="none"/>
              </w:rPr>
            </w:pPr>
          </w:p>
        </w:tc>
      </w:tr>
      <w:tr w14:paraId="50A76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91" w:type="pct"/>
            <w:shd w:val="clear" w:color="auto" w:fill="auto"/>
            <w:vAlign w:val="center"/>
          </w:tcPr>
          <w:p w14:paraId="3F43BA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710" w:type="pct"/>
            <w:shd w:val="clear" w:color="auto" w:fill="auto"/>
            <w:vAlign w:val="center"/>
          </w:tcPr>
          <w:p w14:paraId="136FA6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红绿灯移位</w:t>
            </w:r>
          </w:p>
        </w:tc>
        <w:tc>
          <w:tcPr>
            <w:tcW w:w="2697" w:type="pct"/>
            <w:shd w:val="clear" w:color="auto" w:fill="auto"/>
            <w:vAlign w:val="center"/>
          </w:tcPr>
          <w:p w14:paraId="13A4EA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含拆除费用并移至甲方指定位置含地笼、混凝土、安装、调试、路面恢复、接入费用</w:t>
            </w:r>
          </w:p>
        </w:tc>
        <w:tc>
          <w:tcPr>
            <w:tcW w:w="299" w:type="pct"/>
            <w:shd w:val="clear" w:color="auto" w:fill="auto"/>
            <w:noWrap/>
            <w:vAlign w:val="center"/>
          </w:tcPr>
          <w:p w14:paraId="72E3ED3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项</w:t>
            </w:r>
          </w:p>
        </w:tc>
        <w:tc>
          <w:tcPr>
            <w:tcW w:w="397" w:type="pct"/>
            <w:shd w:val="clear" w:color="auto" w:fill="auto"/>
            <w:vAlign w:val="center"/>
          </w:tcPr>
          <w:p w14:paraId="6DD9B6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603" w:type="pct"/>
            <w:shd w:val="clear" w:color="auto" w:fill="auto"/>
            <w:vAlign w:val="center"/>
          </w:tcPr>
          <w:p w14:paraId="0BF079B6">
            <w:pPr>
              <w:jc w:val="center"/>
              <w:rPr>
                <w:rFonts w:hint="eastAsia" w:ascii="宋体" w:hAnsi="宋体" w:eastAsia="宋体" w:cs="宋体"/>
                <w:i w:val="0"/>
                <w:iCs w:val="0"/>
                <w:color w:val="000000"/>
                <w:sz w:val="20"/>
                <w:szCs w:val="20"/>
                <w:u w:val="none"/>
              </w:rPr>
            </w:pPr>
          </w:p>
        </w:tc>
      </w:tr>
      <w:tr w14:paraId="1D9D9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0" w:hRule="atLeast"/>
        </w:trPr>
        <w:tc>
          <w:tcPr>
            <w:tcW w:w="291" w:type="pct"/>
            <w:shd w:val="clear" w:color="auto" w:fill="auto"/>
            <w:noWrap/>
            <w:vAlign w:val="center"/>
          </w:tcPr>
          <w:p w14:paraId="03244457">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五</w:t>
            </w:r>
          </w:p>
        </w:tc>
        <w:tc>
          <w:tcPr>
            <w:tcW w:w="710" w:type="pct"/>
            <w:shd w:val="clear" w:color="auto" w:fill="auto"/>
            <w:noWrap/>
            <w:vAlign w:val="center"/>
          </w:tcPr>
          <w:p w14:paraId="09361C92">
            <w:pPr>
              <w:keepNext w:val="0"/>
              <w:keepLines w:val="0"/>
              <w:widowControl/>
              <w:suppressLineNumbers w:val="0"/>
              <w:jc w:val="left"/>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调试费</w:t>
            </w:r>
          </w:p>
        </w:tc>
        <w:tc>
          <w:tcPr>
            <w:tcW w:w="2697" w:type="pct"/>
            <w:shd w:val="clear" w:color="auto" w:fill="auto"/>
            <w:noWrap/>
            <w:vAlign w:val="center"/>
          </w:tcPr>
          <w:p w14:paraId="6D28C2B8">
            <w:pPr>
              <w:keepNext w:val="0"/>
              <w:keepLines w:val="0"/>
              <w:widowControl/>
              <w:suppressLineNumbers w:val="0"/>
              <w:jc w:val="left"/>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该项目所有采购的设备安装调试费</w:t>
            </w:r>
          </w:p>
        </w:tc>
        <w:tc>
          <w:tcPr>
            <w:tcW w:w="299" w:type="pct"/>
            <w:shd w:val="clear" w:color="auto" w:fill="auto"/>
            <w:noWrap/>
            <w:vAlign w:val="bottom"/>
          </w:tcPr>
          <w:p w14:paraId="1BE07EFB">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397" w:type="pct"/>
            <w:shd w:val="clear" w:color="auto" w:fill="auto"/>
            <w:noWrap/>
            <w:vAlign w:val="bottom"/>
          </w:tcPr>
          <w:p w14:paraId="07F7893A">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03" w:type="pct"/>
            <w:shd w:val="clear" w:color="auto" w:fill="auto"/>
            <w:noWrap/>
            <w:vAlign w:val="bottom"/>
          </w:tcPr>
          <w:p w14:paraId="0728F092">
            <w:pPr>
              <w:rPr>
                <w:rFonts w:hint="eastAsia" w:ascii="宋体" w:hAnsi="宋体" w:eastAsia="宋体" w:cs="宋体"/>
                <w:i w:val="0"/>
                <w:iCs w:val="0"/>
                <w:color w:val="000000"/>
                <w:sz w:val="22"/>
                <w:szCs w:val="22"/>
                <w:u w:val="none"/>
              </w:rPr>
            </w:pPr>
          </w:p>
        </w:tc>
      </w:tr>
      <w:tr w14:paraId="421F2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0" w:hRule="atLeast"/>
        </w:trPr>
        <w:tc>
          <w:tcPr>
            <w:tcW w:w="291" w:type="pct"/>
            <w:shd w:val="clear" w:color="auto" w:fill="auto"/>
            <w:noWrap/>
            <w:vAlign w:val="center"/>
          </w:tcPr>
          <w:p w14:paraId="3BF7634E">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六</w:t>
            </w:r>
          </w:p>
        </w:tc>
        <w:tc>
          <w:tcPr>
            <w:tcW w:w="710" w:type="pct"/>
            <w:shd w:val="clear" w:color="auto" w:fill="auto"/>
            <w:noWrap/>
            <w:vAlign w:val="center"/>
          </w:tcPr>
          <w:p w14:paraId="7F1A8A96">
            <w:pPr>
              <w:keepNext w:val="0"/>
              <w:keepLines w:val="0"/>
              <w:widowControl/>
              <w:suppressLineNumbers w:val="0"/>
              <w:jc w:val="left"/>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安全文明施工费</w:t>
            </w:r>
          </w:p>
        </w:tc>
        <w:tc>
          <w:tcPr>
            <w:tcW w:w="2697" w:type="pct"/>
            <w:shd w:val="clear" w:color="auto" w:fill="auto"/>
            <w:noWrap/>
            <w:vAlign w:val="center"/>
          </w:tcPr>
          <w:p w14:paraId="64E98314">
            <w:pPr>
              <w:keepNext w:val="0"/>
              <w:keepLines w:val="0"/>
              <w:widowControl/>
              <w:suppressLineNumbers w:val="0"/>
              <w:jc w:val="left"/>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用于本项目安全施工、文明施工的总体费用</w:t>
            </w:r>
          </w:p>
        </w:tc>
        <w:tc>
          <w:tcPr>
            <w:tcW w:w="299" w:type="pct"/>
            <w:shd w:val="clear" w:color="auto" w:fill="auto"/>
            <w:noWrap/>
            <w:vAlign w:val="bottom"/>
          </w:tcPr>
          <w:p w14:paraId="1666A14B">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项 </w:t>
            </w:r>
          </w:p>
        </w:tc>
        <w:tc>
          <w:tcPr>
            <w:tcW w:w="397" w:type="pct"/>
            <w:shd w:val="clear" w:color="auto" w:fill="auto"/>
            <w:noWrap/>
            <w:vAlign w:val="bottom"/>
          </w:tcPr>
          <w:p w14:paraId="37AE6539">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03" w:type="pct"/>
            <w:shd w:val="clear" w:color="auto" w:fill="auto"/>
            <w:noWrap/>
            <w:vAlign w:val="bottom"/>
          </w:tcPr>
          <w:p w14:paraId="0769D160">
            <w:pPr>
              <w:rPr>
                <w:rFonts w:hint="eastAsia" w:ascii="宋体" w:hAnsi="宋体" w:eastAsia="宋体" w:cs="宋体"/>
                <w:i w:val="0"/>
                <w:iCs w:val="0"/>
                <w:color w:val="000000"/>
                <w:sz w:val="22"/>
                <w:szCs w:val="22"/>
                <w:u w:val="none"/>
              </w:rPr>
            </w:pPr>
          </w:p>
        </w:tc>
      </w:tr>
    </w:tbl>
    <w:p w14:paraId="04994284">
      <w:pPr>
        <w:spacing w:line="360" w:lineRule="auto"/>
        <w:ind w:firstLine="480" w:firstLineChars="200"/>
        <w:rPr>
          <w:rFonts w:hint="eastAsia" w:ascii="宋体" w:hAnsi="宋体" w:eastAsia="宋体" w:cs="宋体"/>
          <w:color w:val="auto"/>
          <w:kern w:val="2"/>
          <w:sz w:val="24"/>
        </w:rPr>
      </w:pPr>
    </w:p>
    <w:tbl>
      <w:tblPr>
        <w:tblStyle w:val="3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2"/>
        <w:gridCol w:w="2001"/>
        <w:gridCol w:w="7644"/>
        <w:gridCol w:w="878"/>
        <w:gridCol w:w="1125"/>
        <w:gridCol w:w="1704"/>
      </w:tblGrid>
      <w:tr w14:paraId="5BDB3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000" w:type="pct"/>
            <w:gridSpan w:val="6"/>
            <w:tcBorders>
              <w:top w:val="nil"/>
              <w:left w:val="nil"/>
              <w:bottom w:val="nil"/>
              <w:right w:val="nil"/>
            </w:tcBorders>
            <w:shd w:val="clear" w:color="auto" w:fill="auto"/>
            <w:noWrap/>
            <w:vAlign w:val="center"/>
          </w:tcPr>
          <w:p w14:paraId="3C22BEF7">
            <w:pPr>
              <w:keepNext w:val="0"/>
              <w:keepLines w:val="0"/>
              <w:widowControl/>
              <w:suppressLineNumbers w:val="0"/>
              <w:jc w:val="center"/>
              <w:textAlignment w:val="center"/>
              <w:rPr>
                <w:rFonts w:ascii="微软雅黑" w:hAnsi="微软雅黑" w:eastAsia="微软雅黑" w:cs="微软雅黑"/>
                <w:b/>
                <w:bCs/>
                <w:i w:val="0"/>
                <w:iCs w:val="0"/>
                <w:color w:val="000000"/>
                <w:sz w:val="32"/>
                <w:szCs w:val="32"/>
                <w:u w:val="none"/>
              </w:rPr>
            </w:pPr>
            <w:r>
              <w:rPr>
                <w:rFonts w:hint="eastAsia" w:ascii="微软雅黑" w:hAnsi="微软雅黑" w:eastAsia="微软雅黑" w:cs="微软雅黑"/>
                <w:b/>
                <w:bCs/>
                <w:i w:val="0"/>
                <w:iCs w:val="0"/>
                <w:color w:val="000000"/>
                <w:kern w:val="0"/>
                <w:sz w:val="32"/>
                <w:szCs w:val="32"/>
                <w:u w:val="none"/>
                <w:lang w:val="en-US" w:eastAsia="zh-CN" w:bidi="ar"/>
              </w:rPr>
              <w:t>园区等路口电警卡口前端建设</w:t>
            </w:r>
          </w:p>
        </w:tc>
      </w:tr>
      <w:tr w14:paraId="4B2E4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78436">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序号</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3F42E">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产品类别</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679C5">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核心参数</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99EAE">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单位</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20F8C">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数量</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E7D88">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备注</w:t>
            </w:r>
          </w:p>
        </w:tc>
      </w:tr>
      <w:tr w14:paraId="566FA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858DA">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一</w:t>
            </w:r>
          </w:p>
        </w:tc>
        <w:tc>
          <w:tcPr>
            <w:tcW w:w="4108"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F6B2F">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主要设备部分</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7DA8B">
            <w:pPr>
              <w:jc w:val="center"/>
              <w:rPr>
                <w:rFonts w:hint="eastAsia" w:ascii="微软雅黑" w:hAnsi="微软雅黑" w:eastAsia="微软雅黑" w:cs="微软雅黑"/>
                <w:b/>
                <w:bCs/>
                <w:i w:val="0"/>
                <w:iCs w:val="0"/>
                <w:color w:val="000000"/>
                <w:sz w:val="20"/>
                <w:szCs w:val="20"/>
                <w:u w:val="none"/>
              </w:rPr>
            </w:pPr>
          </w:p>
        </w:tc>
      </w:tr>
      <w:tr w14:paraId="533E6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CAB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D1B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900万电警相机</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B1B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BD5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99C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5EE8B">
            <w:pPr>
              <w:jc w:val="center"/>
              <w:rPr>
                <w:rFonts w:hint="eastAsia" w:ascii="宋体" w:hAnsi="宋体" w:eastAsia="宋体" w:cs="宋体"/>
                <w:i w:val="0"/>
                <w:iCs w:val="0"/>
                <w:color w:val="000000"/>
                <w:sz w:val="20"/>
                <w:szCs w:val="20"/>
                <w:u w:val="none"/>
              </w:rPr>
            </w:pPr>
          </w:p>
        </w:tc>
      </w:tr>
      <w:tr w14:paraId="5B58F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765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A1E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500万电警相机</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C1C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B39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7AA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E74C6">
            <w:pPr>
              <w:jc w:val="center"/>
              <w:rPr>
                <w:rFonts w:hint="eastAsia" w:ascii="宋体" w:hAnsi="宋体" w:eastAsia="宋体" w:cs="宋体"/>
                <w:i w:val="0"/>
                <w:iCs w:val="0"/>
                <w:color w:val="000000"/>
                <w:sz w:val="20"/>
                <w:szCs w:val="20"/>
                <w:u w:val="none"/>
              </w:rPr>
            </w:pPr>
          </w:p>
        </w:tc>
      </w:tr>
      <w:tr w14:paraId="3C4F4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5D1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76B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900万环保卡口相机</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52C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BED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FCC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B5BD6">
            <w:pPr>
              <w:jc w:val="center"/>
              <w:rPr>
                <w:rFonts w:hint="eastAsia" w:ascii="宋体" w:hAnsi="宋体" w:eastAsia="宋体" w:cs="宋体"/>
                <w:i w:val="0"/>
                <w:iCs w:val="0"/>
                <w:color w:val="000000"/>
                <w:sz w:val="20"/>
                <w:szCs w:val="20"/>
                <w:u w:val="none"/>
              </w:rPr>
            </w:pPr>
          </w:p>
        </w:tc>
      </w:tr>
      <w:tr w14:paraId="6AB81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2C1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F66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500万环保卡口相机</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026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810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8E5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6C261">
            <w:pPr>
              <w:jc w:val="center"/>
              <w:rPr>
                <w:rFonts w:hint="eastAsia" w:ascii="宋体" w:hAnsi="宋体" w:eastAsia="宋体" w:cs="宋体"/>
                <w:i w:val="0"/>
                <w:iCs w:val="0"/>
                <w:color w:val="000000"/>
                <w:sz w:val="20"/>
                <w:szCs w:val="20"/>
                <w:u w:val="none"/>
              </w:rPr>
            </w:pPr>
          </w:p>
        </w:tc>
      </w:tr>
      <w:tr w14:paraId="0382C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135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35E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400W球机</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450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C1D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F37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89912">
            <w:pPr>
              <w:jc w:val="center"/>
              <w:rPr>
                <w:rFonts w:hint="eastAsia" w:ascii="宋体" w:hAnsi="宋体" w:eastAsia="宋体" w:cs="宋体"/>
                <w:i w:val="0"/>
                <w:iCs w:val="0"/>
                <w:color w:val="000000"/>
                <w:sz w:val="20"/>
                <w:szCs w:val="20"/>
                <w:u w:val="none"/>
              </w:rPr>
            </w:pPr>
          </w:p>
        </w:tc>
      </w:tr>
      <w:tr w14:paraId="3492C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C7A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368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违停球</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BCF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324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58C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286EF">
            <w:pPr>
              <w:jc w:val="center"/>
              <w:rPr>
                <w:rFonts w:hint="eastAsia" w:ascii="宋体" w:hAnsi="宋体" w:eastAsia="宋体" w:cs="宋体"/>
                <w:i w:val="0"/>
                <w:iCs w:val="0"/>
                <w:color w:val="000000"/>
                <w:sz w:val="20"/>
                <w:szCs w:val="20"/>
                <w:u w:val="none"/>
              </w:rPr>
            </w:pPr>
          </w:p>
        </w:tc>
      </w:tr>
      <w:tr w14:paraId="4CB2D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E0A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440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光纤收发器（对）</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958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千兆，提供不低于1个1000M自适应电接口和1个FX光接口</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4A5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159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26511">
            <w:pPr>
              <w:jc w:val="center"/>
              <w:rPr>
                <w:rFonts w:hint="eastAsia" w:ascii="宋体" w:hAnsi="宋体" w:eastAsia="宋体" w:cs="宋体"/>
                <w:i w:val="0"/>
                <w:iCs w:val="0"/>
                <w:color w:val="000000"/>
                <w:sz w:val="20"/>
                <w:szCs w:val="20"/>
                <w:u w:val="none"/>
              </w:rPr>
            </w:pPr>
          </w:p>
        </w:tc>
      </w:tr>
      <w:tr w14:paraId="54D2F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93F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BD0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交换机（8口）</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168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065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078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106</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C6BEC">
            <w:pPr>
              <w:jc w:val="center"/>
              <w:rPr>
                <w:rFonts w:hint="eastAsia" w:ascii="宋体" w:hAnsi="宋体" w:eastAsia="宋体" w:cs="宋体"/>
                <w:i w:val="0"/>
                <w:iCs w:val="0"/>
                <w:color w:val="000000"/>
                <w:sz w:val="20"/>
                <w:szCs w:val="20"/>
                <w:u w:val="none"/>
              </w:rPr>
            </w:pPr>
          </w:p>
        </w:tc>
      </w:tr>
      <w:tr w14:paraId="144F7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D75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495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LED环保补光灯</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787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F68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4F4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161</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E4052">
            <w:pPr>
              <w:jc w:val="center"/>
              <w:rPr>
                <w:rFonts w:hint="eastAsia" w:ascii="宋体" w:hAnsi="宋体" w:eastAsia="宋体" w:cs="宋体"/>
                <w:i w:val="0"/>
                <w:iCs w:val="0"/>
                <w:color w:val="000000"/>
                <w:sz w:val="20"/>
                <w:szCs w:val="20"/>
                <w:u w:val="none"/>
              </w:rPr>
            </w:pPr>
          </w:p>
        </w:tc>
      </w:tr>
      <w:tr w14:paraId="28567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9BD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503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四合一环保补光灯</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636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F99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0D3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FA224">
            <w:pPr>
              <w:jc w:val="center"/>
              <w:rPr>
                <w:rFonts w:hint="eastAsia" w:ascii="宋体" w:hAnsi="宋体" w:eastAsia="宋体" w:cs="宋体"/>
                <w:i w:val="0"/>
                <w:iCs w:val="0"/>
                <w:color w:val="000000"/>
                <w:sz w:val="20"/>
                <w:szCs w:val="20"/>
                <w:u w:val="none"/>
              </w:rPr>
            </w:pPr>
          </w:p>
        </w:tc>
      </w:tr>
      <w:tr w14:paraId="6014A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78B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C3A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前端处理终端</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440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A61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C37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7FA09">
            <w:pPr>
              <w:jc w:val="center"/>
              <w:rPr>
                <w:rFonts w:hint="eastAsia" w:ascii="宋体" w:hAnsi="宋体" w:eastAsia="宋体" w:cs="宋体"/>
                <w:i w:val="0"/>
                <w:iCs w:val="0"/>
                <w:color w:val="000000"/>
                <w:sz w:val="20"/>
                <w:szCs w:val="20"/>
                <w:u w:val="none"/>
              </w:rPr>
            </w:pPr>
          </w:p>
        </w:tc>
      </w:tr>
      <w:tr w14:paraId="7448A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05E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696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抱杆机箱</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FD6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308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CCE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3C715">
            <w:pPr>
              <w:jc w:val="center"/>
              <w:rPr>
                <w:rFonts w:hint="eastAsia" w:ascii="宋体" w:hAnsi="宋体" w:eastAsia="宋体" w:cs="宋体"/>
                <w:i w:val="0"/>
                <w:iCs w:val="0"/>
                <w:color w:val="000000"/>
                <w:sz w:val="20"/>
                <w:szCs w:val="20"/>
                <w:u w:val="none"/>
              </w:rPr>
            </w:pPr>
          </w:p>
        </w:tc>
      </w:tr>
      <w:tr w14:paraId="2031F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CBA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863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信号机</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F0F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439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FF1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C0313">
            <w:pPr>
              <w:jc w:val="center"/>
              <w:rPr>
                <w:rFonts w:hint="eastAsia" w:ascii="宋体" w:hAnsi="宋体" w:eastAsia="宋体" w:cs="宋体"/>
                <w:i w:val="0"/>
                <w:iCs w:val="0"/>
                <w:color w:val="000000"/>
                <w:sz w:val="20"/>
                <w:szCs w:val="20"/>
                <w:u w:val="none"/>
              </w:rPr>
            </w:pPr>
          </w:p>
        </w:tc>
      </w:tr>
      <w:tr w14:paraId="51694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E11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48E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落地机柜</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171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B5A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D54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21D77">
            <w:pPr>
              <w:jc w:val="center"/>
              <w:rPr>
                <w:rFonts w:hint="eastAsia" w:ascii="宋体" w:hAnsi="宋体" w:eastAsia="宋体" w:cs="宋体"/>
                <w:i w:val="0"/>
                <w:iCs w:val="0"/>
                <w:color w:val="000000"/>
                <w:sz w:val="20"/>
                <w:szCs w:val="20"/>
                <w:u w:val="none"/>
              </w:rPr>
            </w:pPr>
          </w:p>
        </w:tc>
      </w:tr>
      <w:tr w14:paraId="2B0E4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465E9">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二</w:t>
            </w:r>
          </w:p>
        </w:tc>
        <w:tc>
          <w:tcPr>
            <w:tcW w:w="4108"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DDC1E">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主要材料部分</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8F98E">
            <w:pPr>
              <w:jc w:val="center"/>
              <w:rPr>
                <w:rFonts w:hint="eastAsia" w:ascii="微软雅黑" w:hAnsi="微软雅黑" w:eastAsia="微软雅黑" w:cs="微软雅黑"/>
                <w:b/>
                <w:bCs/>
                <w:i w:val="0"/>
                <w:iCs w:val="0"/>
                <w:color w:val="000000"/>
                <w:sz w:val="20"/>
                <w:szCs w:val="20"/>
                <w:u w:val="none"/>
              </w:rPr>
            </w:pPr>
          </w:p>
        </w:tc>
      </w:tr>
      <w:tr w14:paraId="7DC97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6DB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7FF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7米挑臂7M杆件（含基础、地笼、浇筑）</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169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立杆八角直径220-280-6mm厚，横臂八角直径90-180-4mm厚，基础法兰直径500-16mm厚，热镀锌后喷塑，固定法兰直径500-4mm厚，预埋件螺栓对角中心距400mm-8支M24圆钢长1.285米。基坑规格1200*1200-1400mm深。</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C6B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4A7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58535">
            <w:pPr>
              <w:jc w:val="center"/>
              <w:rPr>
                <w:rFonts w:hint="eastAsia" w:ascii="微软雅黑" w:hAnsi="微软雅黑" w:eastAsia="微软雅黑" w:cs="微软雅黑"/>
                <w:b/>
                <w:bCs/>
                <w:i w:val="0"/>
                <w:iCs w:val="0"/>
                <w:color w:val="000000"/>
                <w:sz w:val="20"/>
                <w:szCs w:val="20"/>
                <w:u w:val="none"/>
              </w:rPr>
            </w:pPr>
          </w:p>
        </w:tc>
      </w:tr>
      <w:tr w14:paraId="2D9F7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78F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313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7米挑臂8M杆件（含基础、地笼、浇筑）</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6AA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立杆八角直径240-300-6mm厚，横臂八角直径100-230-4mm厚，基础法兰直径500-16mm厚，热镀锌后喷塑。固定法兰直径500-4mm厚，预埋件螺栓对角中心距450mm-8支M27圆钢长1.5米。基坑规格1400*1400-1600mm深。</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9EC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4F9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936F4">
            <w:pPr>
              <w:jc w:val="center"/>
              <w:rPr>
                <w:rFonts w:hint="eastAsia" w:ascii="宋体" w:hAnsi="宋体" w:eastAsia="宋体" w:cs="宋体"/>
                <w:i w:val="0"/>
                <w:iCs w:val="0"/>
                <w:color w:val="000000"/>
                <w:sz w:val="20"/>
                <w:szCs w:val="20"/>
                <w:u w:val="none"/>
              </w:rPr>
            </w:pPr>
          </w:p>
        </w:tc>
      </w:tr>
      <w:tr w14:paraId="53E21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983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770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7米挑臂10M杆件（含基础、地笼、浇筑）</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A96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立杆八角直径270-330-6mm厚，横臂八角直径100-240-5mm厚，基础法兰直径550-20mm厚，热镀锌后喷塑，固定法兰直径550-5mm厚，预埋件螺栓对角中心距450mm-8支M27圆钢长1.5米。基坑规格1600*1600-1800mm深。</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DDA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F04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099DB">
            <w:pPr>
              <w:jc w:val="center"/>
              <w:rPr>
                <w:rFonts w:hint="eastAsia" w:ascii="宋体" w:hAnsi="宋体" w:eastAsia="宋体" w:cs="宋体"/>
                <w:i w:val="0"/>
                <w:iCs w:val="0"/>
                <w:color w:val="000000"/>
                <w:sz w:val="20"/>
                <w:szCs w:val="20"/>
                <w:u w:val="none"/>
              </w:rPr>
            </w:pPr>
          </w:p>
        </w:tc>
      </w:tr>
      <w:tr w14:paraId="4B7D1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1F6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572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7米挑臂12M杆件（含基础、地笼、浇筑）</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C75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立杆八角直径300-360-8mm厚，横臂八角直径100-280-5mm厚，基础法兰直径600-20mm厚。热镀锌后喷塑，固定法兰直径600-6mm厚，预埋件螺栓对角中心距500mm-8支M30圆钢长1.5米。基坑规格1600*1600-1800mm深。</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269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2C1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2F268">
            <w:pPr>
              <w:jc w:val="center"/>
              <w:rPr>
                <w:rFonts w:hint="eastAsia" w:ascii="宋体" w:hAnsi="宋体" w:eastAsia="宋体" w:cs="宋体"/>
                <w:i w:val="0"/>
                <w:iCs w:val="0"/>
                <w:color w:val="000000"/>
                <w:sz w:val="20"/>
                <w:szCs w:val="20"/>
                <w:u w:val="none"/>
              </w:rPr>
            </w:pPr>
          </w:p>
        </w:tc>
      </w:tr>
      <w:tr w14:paraId="530C6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80C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F9A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7米挑臂14M杆件（含基础、地笼、浇筑）</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AF0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杆八角直径300-370-8mm厚，横臂八角分两节，小头一节直径100-200-5mm厚，大头一节直径200-300-6mm厚，基础法兰直径600-20mm厚，热镀锌后喷塑。做对接，固定法兰直径600-6mm厚，预埋件螺栓对角中心距550mm-8支M30圆钢长1.8米。基坑规格1800*1800-2000mm深。</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F4A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B6A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C770D">
            <w:pPr>
              <w:jc w:val="center"/>
              <w:rPr>
                <w:rFonts w:hint="eastAsia" w:ascii="宋体" w:hAnsi="宋体" w:eastAsia="宋体" w:cs="宋体"/>
                <w:i w:val="0"/>
                <w:iCs w:val="0"/>
                <w:color w:val="000000"/>
                <w:sz w:val="20"/>
                <w:szCs w:val="20"/>
                <w:u w:val="none"/>
              </w:rPr>
            </w:pPr>
          </w:p>
        </w:tc>
      </w:tr>
      <w:tr w14:paraId="2DB17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EE15B">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4E1A6">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7.5米挑臂5M杆件（含基础、地笼、浇筑）</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4820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立杆八角直径220-280-6mm厚，横臂八角直径90-180-4mm厚，基础法兰直径500-16mm厚，热镀锌后喷塑，固定法兰直径500-4mm厚，预埋件螺栓对角中心距400mm-8支M24圆钢长1.285米。基坑规格1200*1200-1400mm深。</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CA694">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4FBB7">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B08A2">
            <w:pPr>
              <w:jc w:val="center"/>
              <w:rPr>
                <w:rFonts w:hint="eastAsia" w:ascii="宋体" w:hAnsi="宋体" w:eastAsia="宋体" w:cs="宋体"/>
                <w:i w:val="0"/>
                <w:iCs w:val="0"/>
                <w:color w:val="000000"/>
                <w:sz w:val="20"/>
                <w:szCs w:val="20"/>
                <w:u w:val="none"/>
              </w:rPr>
            </w:pPr>
          </w:p>
        </w:tc>
      </w:tr>
      <w:tr w14:paraId="39295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779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DD4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U型球机支架</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7BB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U型支架，臂厚不小于2mm，热镀锌喷塑。安装接线不许外露，在杆件内穿线接线连接，需符合架设杆件所属部门的相关要求。</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32B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679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3AC51">
            <w:pPr>
              <w:jc w:val="center"/>
              <w:rPr>
                <w:rFonts w:hint="eastAsia" w:ascii="宋体" w:hAnsi="宋体" w:eastAsia="宋体" w:cs="宋体"/>
                <w:i w:val="0"/>
                <w:iCs w:val="0"/>
                <w:color w:val="000000"/>
                <w:sz w:val="20"/>
                <w:szCs w:val="20"/>
                <w:u w:val="none"/>
              </w:rPr>
            </w:pPr>
          </w:p>
        </w:tc>
      </w:tr>
      <w:tr w14:paraId="78AA1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808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0B2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接地棒及组件含安装测量</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85E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杆件、箱体等接地含材料，接地阻值不大于10Ω</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48A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5C3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D947E">
            <w:pPr>
              <w:jc w:val="center"/>
              <w:rPr>
                <w:rFonts w:hint="eastAsia" w:ascii="宋体" w:hAnsi="宋体" w:eastAsia="宋体" w:cs="宋体"/>
                <w:i w:val="0"/>
                <w:iCs w:val="0"/>
                <w:color w:val="000000"/>
                <w:sz w:val="20"/>
                <w:szCs w:val="20"/>
                <w:u w:val="none"/>
              </w:rPr>
            </w:pPr>
          </w:p>
        </w:tc>
      </w:tr>
      <w:tr w14:paraId="44481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F48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FB2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电源线</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764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国标，纯铜，RVV3×1.0mm²</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69A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1FF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3855</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2E506">
            <w:pPr>
              <w:jc w:val="center"/>
              <w:rPr>
                <w:rFonts w:hint="eastAsia" w:ascii="宋体" w:hAnsi="宋体" w:eastAsia="宋体" w:cs="宋体"/>
                <w:i w:val="0"/>
                <w:iCs w:val="0"/>
                <w:color w:val="000000"/>
                <w:sz w:val="20"/>
                <w:szCs w:val="20"/>
                <w:u w:val="none"/>
              </w:rPr>
            </w:pPr>
          </w:p>
        </w:tc>
      </w:tr>
      <w:tr w14:paraId="17B2F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9CF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AAB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电源线</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374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国标，纯铜，RVV-2*10.0mm²</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CBB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9D2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665</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B5DA9">
            <w:pPr>
              <w:jc w:val="center"/>
              <w:rPr>
                <w:rFonts w:hint="eastAsia" w:ascii="宋体" w:hAnsi="宋体" w:eastAsia="宋体" w:cs="宋体"/>
                <w:i w:val="0"/>
                <w:iCs w:val="0"/>
                <w:color w:val="000000"/>
                <w:sz w:val="20"/>
                <w:szCs w:val="20"/>
                <w:u w:val="none"/>
              </w:rPr>
            </w:pPr>
          </w:p>
        </w:tc>
      </w:tr>
      <w:tr w14:paraId="14080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650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786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电源线</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5AD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国标，纯铜，RVV-2*6.0mm²</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268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97C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2587</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CD910">
            <w:pPr>
              <w:jc w:val="center"/>
              <w:rPr>
                <w:rFonts w:hint="eastAsia" w:ascii="宋体" w:hAnsi="宋体" w:eastAsia="宋体" w:cs="宋体"/>
                <w:i w:val="0"/>
                <w:iCs w:val="0"/>
                <w:color w:val="000000"/>
                <w:sz w:val="20"/>
                <w:szCs w:val="20"/>
                <w:u w:val="none"/>
              </w:rPr>
            </w:pPr>
          </w:p>
        </w:tc>
      </w:tr>
      <w:tr w14:paraId="4FE64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095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63A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电源线</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9F2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国标，纯铜，RVV-3*2.5mm²</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CDB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BB6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5777</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EA209">
            <w:pPr>
              <w:jc w:val="center"/>
              <w:rPr>
                <w:rFonts w:hint="eastAsia" w:ascii="宋体" w:hAnsi="宋体" w:eastAsia="宋体" w:cs="宋体"/>
                <w:i w:val="0"/>
                <w:iCs w:val="0"/>
                <w:color w:val="000000"/>
                <w:sz w:val="20"/>
                <w:szCs w:val="20"/>
                <w:u w:val="none"/>
              </w:rPr>
            </w:pPr>
          </w:p>
        </w:tc>
      </w:tr>
      <w:tr w14:paraId="2400D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F12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070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信号线</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8BF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补光灯、爆闪灯信号线</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482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E1E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1050</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E633F">
            <w:pPr>
              <w:jc w:val="center"/>
              <w:rPr>
                <w:rFonts w:hint="eastAsia" w:ascii="宋体" w:hAnsi="宋体" w:eastAsia="宋体" w:cs="宋体"/>
                <w:i w:val="0"/>
                <w:iCs w:val="0"/>
                <w:color w:val="000000"/>
                <w:sz w:val="20"/>
                <w:szCs w:val="20"/>
                <w:u w:val="none"/>
              </w:rPr>
            </w:pPr>
          </w:p>
        </w:tc>
      </w:tr>
      <w:tr w14:paraId="4E0A3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CBF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500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六类网线</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09A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国标，室外，</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E21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661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3855</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A6AF2">
            <w:pPr>
              <w:jc w:val="center"/>
              <w:rPr>
                <w:rFonts w:hint="eastAsia" w:ascii="宋体" w:hAnsi="宋体" w:eastAsia="宋体" w:cs="宋体"/>
                <w:i w:val="0"/>
                <w:iCs w:val="0"/>
                <w:color w:val="000000"/>
                <w:sz w:val="20"/>
                <w:szCs w:val="20"/>
                <w:u w:val="none"/>
              </w:rPr>
            </w:pPr>
          </w:p>
        </w:tc>
      </w:tr>
      <w:tr w14:paraId="258C0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AC9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0C3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单模光缆-4芯</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064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4芯单模，含熔纤、配套辅材等</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3B7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C00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5707</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678B6">
            <w:pPr>
              <w:jc w:val="center"/>
              <w:rPr>
                <w:rFonts w:hint="eastAsia" w:ascii="宋体" w:hAnsi="宋体" w:eastAsia="宋体" w:cs="宋体"/>
                <w:i w:val="0"/>
                <w:iCs w:val="0"/>
                <w:color w:val="000000"/>
                <w:sz w:val="20"/>
                <w:szCs w:val="20"/>
                <w:u w:val="none"/>
              </w:rPr>
            </w:pPr>
          </w:p>
        </w:tc>
      </w:tr>
      <w:tr w14:paraId="345B9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B7A14">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三</w:t>
            </w:r>
          </w:p>
        </w:tc>
        <w:tc>
          <w:tcPr>
            <w:tcW w:w="4108"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9D9E9">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基建部分</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AFEAE">
            <w:pPr>
              <w:jc w:val="center"/>
              <w:rPr>
                <w:rFonts w:hint="eastAsia" w:ascii="微软雅黑" w:hAnsi="微软雅黑" w:eastAsia="微软雅黑" w:cs="微软雅黑"/>
                <w:b/>
                <w:bCs/>
                <w:i w:val="0"/>
                <w:iCs w:val="0"/>
                <w:color w:val="000000"/>
                <w:sz w:val="20"/>
                <w:szCs w:val="20"/>
                <w:u w:val="none"/>
              </w:rPr>
            </w:pPr>
          </w:p>
        </w:tc>
      </w:tr>
      <w:tr w14:paraId="02A01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9FC30">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30</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9DC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落地箱（柜）基座</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34E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落地箱及信号机基座，按《公安交通管理外场设备基础施工通用要求》实施</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D37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792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AD4BB">
            <w:pPr>
              <w:jc w:val="center"/>
              <w:rPr>
                <w:rFonts w:hint="eastAsia" w:ascii="宋体" w:hAnsi="宋体" w:eastAsia="宋体" w:cs="宋体"/>
                <w:i w:val="0"/>
                <w:iCs w:val="0"/>
                <w:color w:val="000000"/>
                <w:sz w:val="20"/>
                <w:szCs w:val="20"/>
                <w:u w:val="none"/>
              </w:rPr>
            </w:pPr>
          </w:p>
        </w:tc>
      </w:tr>
      <w:tr w14:paraId="73B0E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355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81B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砖砌手井（含手井圈、盖）</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94E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规格尺寸:500mm*500mm*500mm。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盖板材质、规格:预制钢筋砼盖板。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井盖上印有“公安专用”标志。</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3F8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F7C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211</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87877">
            <w:pPr>
              <w:jc w:val="center"/>
              <w:rPr>
                <w:rFonts w:hint="eastAsia" w:ascii="宋体" w:hAnsi="宋体" w:eastAsia="宋体" w:cs="宋体"/>
                <w:i w:val="0"/>
                <w:iCs w:val="0"/>
                <w:color w:val="000000"/>
                <w:sz w:val="20"/>
                <w:szCs w:val="20"/>
                <w:u w:val="none"/>
              </w:rPr>
            </w:pPr>
          </w:p>
        </w:tc>
      </w:tr>
      <w:tr w14:paraId="15A67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A2F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006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过路顶管Φ75</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A49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按《公安交通管理外场设备基础施工通用要求》实施</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7C4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B8A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3330</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02C23">
            <w:pPr>
              <w:jc w:val="center"/>
              <w:rPr>
                <w:rFonts w:hint="eastAsia" w:ascii="宋体" w:hAnsi="宋体" w:eastAsia="宋体" w:cs="宋体"/>
                <w:i w:val="0"/>
                <w:iCs w:val="0"/>
                <w:color w:val="000000"/>
                <w:sz w:val="20"/>
                <w:szCs w:val="20"/>
                <w:u w:val="none"/>
              </w:rPr>
            </w:pPr>
          </w:p>
        </w:tc>
      </w:tr>
      <w:tr w14:paraId="23325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7"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3F9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EFE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切路</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B55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按《公安交通管理外场设备基础施工通用要求》实施</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A2C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716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155</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569E7">
            <w:pPr>
              <w:jc w:val="center"/>
              <w:rPr>
                <w:rFonts w:hint="eastAsia" w:ascii="宋体" w:hAnsi="宋体" w:eastAsia="宋体" w:cs="宋体"/>
                <w:i w:val="0"/>
                <w:iCs w:val="0"/>
                <w:color w:val="000000"/>
                <w:sz w:val="20"/>
                <w:szCs w:val="20"/>
                <w:u w:val="none"/>
              </w:rPr>
            </w:pPr>
          </w:p>
        </w:tc>
      </w:tr>
      <w:tr w14:paraId="6D385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68E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8EF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管道沟通2孔Φ50</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A18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按《公安交通管理外场设备基础施工通用要求》实施</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F3E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365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4385</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B1F7C">
            <w:pPr>
              <w:jc w:val="center"/>
              <w:rPr>
                <w:rFonts w:hint="eastAsia" w:ascii="宋体" w:hAnsi="宋体" w:eastAsia="宋体" w:cs="宋体"/>
                <w:i w:val="0"/>
                <w:iCs w:val="0"/>
                <w:color w:val="000000"/>
                <w:sz w:val="20"/>
                <w:szCs w:val="20"/>
                <w:u w:val="none"/>
              </w:rPr>
            </w:pPr>
          </w:p>
        </w:tc>
      </w:tr>
      <w:tr w14:paraId="25925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9D1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8DD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绿化恢复及道路恢复</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CCC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恢复现有道路、绿化及青苗费用</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E89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57A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2444A">
            <w:pPr>
              <w:jc w:val="center"/>
              <w:rPr>
                <w:rFonts w:hint="eastAsia" w:ascii="宋体" w:hAnsi="宋体" w:eastAsia="宋体" w:cs="宋体"/>
                <w:i w:val="0"/>
                <w:iCs w:val="0"/>
                <w:color w:val="000000"/>
                <w:sz w:val="20"/>
                <w:szCs w:val="20"/>
                <w:u w:val="none"/>
              </w:rPr>
            </w:pPr>
          </w:p>
        </w:tc>
      </w:tr>
      <w:tr w14:paraId="1E47B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E24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56D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线缆敷设</w:t>
            </w:r>
          </w:p>
        </w:tc>
        <w:tc>
          <w:tcPr>
            <w:tcW w:w="269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B9A7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按《公安交通管理外场设备基础施工通用要求》实施</w:t>
            </w:r>
          </w:p>
        </w:tc>
        <w:tc>
          <w:tcPr>
            <w:tcW w:w="3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F6CD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A17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23496</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3A30C">
            <w:pPr>
              <w:jc w:val="center"/>
              <w:rPr>
                <w:rFonts w:hint="eastAsia" w:ascii="宋体" w:hAnsi="宋体" w:eastAsia="宋体" w:cs="宋体"/>
                <w:i w:val="0"/>
                <w:iCs w:val="0"/>
                <w:color w:val="000000"/>
                <w:sz w:val="20"/>
                <w:szCs w:val="20"/>
                <w:u w:val="none"/>
              </w:rPr>
            </w:pPr>
          </w:p>
        </w:tc>
      </w:tr>
      <w:tr w14:paraId="3524F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A2854">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四</w:t>
            </w:r>
          </w:p>
        </w:tc>
        <w:tc>
          <w:tcPr>
            <w:tcW w:w="4108"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7FE2B">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其他</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53A0B">
            <w:pPr>
              <w:jc w:val="center"/>
              <w:rPr>
                <w:rFonts w:hint="eastAsia" w:ascii="宋体" w:hAnsi="宋体" w:eastAsia="宋体" w:cs="宋体"/>
                <w:i w:val="0"/>
                <w:iCs w:val="0"/>
                <w:color w:val="000000"/>
                <w:sz w:val="20"/>
                <w:szCs w:val="20"/>
                <w:u w:val="none"/>
              </w:rPr>
            </w:pPr>
          </w:p>
        </w:tc>
      </w:tr>
      <w:tr w14:paraId="38C45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40C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0EF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光纤租赁</w:t>
            </w:r>
          </w:p>
        </w:tc>
        <w:tc>
          <w:tcPr>
            <w:tcW w:w="26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E29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本项目所有建设点位租赁运营商光纤链路，不低于千兆带宽，5年租赁费用。</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C29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711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7C12E">
            <w:pPr>
              <w:jc w:val="center"/>
              <w:rPr>
                <w:rFonts w:hint="eastAsia" w:ascii="宋体" w:hAnsi="宋体" w:eastAsia="宋体" w:cs="宋体"/>
                <w:i w:val="0"/>
                <w:iCs w:val="0"/>
                <w:color w:val="000000"/>
                <w:sz w:val="20"/>
                <w:szCs w:val="20"/>
                <w:u w:val="none"/>
              </w:rPr>
            </w:pPr>
          </w:p>
        </w:tc>
      </w:tr>
      <w:tr w14:paraId="016F4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A4C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DF6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供电开户、安装接入施工</w:t>
            </w:r>
          </w:p>
        </w:tc>
        <w:tc>
          <w:tcPr>
            <w:tcW w:w="26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33F8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根据现场情况自行踏勘确认所有建设点位，需供电开户的数量，含勘查、材料、施工、供电部门验收等所有费用，根据供电部门要求进行实施，电源缆线不低于10平方</w:t>
            </w:r>
          </w:p>
        </w:tc>
        <w:tc>
          <w:tcPr>
            <w:tcW w:w="3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ED9E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4AF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084BD">
            <w:pPr>
              <w:jc w:val="center"/>
              <w:rPr>
                <w:rFonts w:hint="eastAsia" w:ascii="宋体" w:hAnsi="宋体" w:eastAsia="宋体" w:cs="宋体"/>
                <w:i w:val="0"/>
                <w:iCs w:val="0"/>
                <w:color w:val="000000"/>
                <w:sz w:val="20"/>
                <w:szCs w:val="20"/>
                <w:u w:val="none"/>
              </w:rPr>
            </w:pPr>
          </w:p>
        </w:tc>
      </w:tr>
      <w:tr w14:paraId="5C756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455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69D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老相机移位</w:t>
            </w:r>
          </w:p>
        </w:tc>
        <w:tc>
          <w:tcPr>
            <w:tcW w:w="269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B07C30">
            <w:pPr>
              <w:jc w:val="left"/>
              <w:rPr>
                <w:rFonts w:hint="eastAsia" w:ascii="宋体" w:hAnsi="宋体" w:eastAsia="宋体" w:cs="宋体"/>
                <w:i w:val="0"/>
                <w:iCs w:val="0"/>
                <w:color w:val="000000"/>
                <w:sz w:val="20"/>
                <w:szCs w:val="20"/>
                <w:u w:val="none"/>
              </w:rPr>
            </w:pPr>
          </w:p>
        </w:tc>
        <w:tc>
          <w:tcPr>
            <w:tcW w:w="3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756F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42F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979C5">
            <w:pPr>
              <w:jc w:val="center"/>
              <w:rPr>
                <w:rFonts w:hint="eastAsia" w:ascii="宋体" w:hAnsi="宋体" w:eastAsia="宋体" w:cs="宋体"/>
                <w:i w:val="0"/>
                <w:iCs w:val="0"/>
                <w:color w:val="000000"/>
                <w:sz w:val="20"/>
                <w:szCs w:val="20"/>
                <w:u w:val="none"/>
              </w:rPr>
            </w:pPr>
          </w:p>
        </w:tc>
      </w:tr>
      <w:tr w14:paraId="086C9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CF8F0">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40</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C13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原杆件移位</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94D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含拆除费用并移至甲方指定位置含地笼、混凝土、安装、调试、路面恢复、接入费用</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10E1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项</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ABD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EA195">
            <w:pPr>
              <w:jc w:val="center"/>
              <w:rPr>
                <w:rFonts w:hint="eastAsia" w:ascii="宋体" w:hAnsi="宋体" w:eastAsia="宋体" w:cs="宋体"/>
                <w:i w:val="0"/>
                <w:iCs w:val="0"/>
                <w:color w:val="000000"/>
                <w:sz w:val="20"/>
                <w:szCs w:val="20"/>
                <w:u w:val="none"/>
              </w:rPr>
            </w:pPr>
          </w:p>
        </w:tc>
      </w:tr>
      <w:tr w14:paraId="5CC22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D902B">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五</w:t>
            </w:r>
          </w:p>
        </w:tc>
        <w:tc>
          <w:tcPr>
            <w:tcW w:w="4108"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011FC">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监控整治</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8B75F">
            <w:pPr>
              <w:jc w:val="center"/>
              <w:rPr>
                <w:rFonts w:hint="eastAsia" w:ascii="宋体" w:hAnsi="宋体" w:eastAsia="宋体" w:cs="宋体"/>
                <w:i w:val="0"/>
                <w:iCs w:val="0"/>
                <w:color w:val="000000"/>
                <w:sz w:val="20"/>
                <w:szCs w:val="20"/>
                <w:u w:val="none"/>
              </w:rPr>
            </w:pPr>
          </w:p>
        </w:tc>
      </w:tr>
      <w:tr w14:paraId="46A79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685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D6C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光纤收发器</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3F5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千兆，提供不低于1个1000M自适应电接口和1个FX光接口</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8A4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568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138</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E05A0">
            <w:pPr>
              <w:jc w:val="center"/>
              <w:rPr>
                <w:rFonts w:hint="eastAsia" w:ascii="宋体" w:hAnsi="宋体" w:eastAsia="宋体" w:cs="宋体"/>
                <w:i w:val="0"/>
                <w:iCs w:val="0"/>
                <w:color w:val="000000"/>
                <w:sz w:val="20"/>
                <w:szCs w:val="20"/>
                <w:u w:val="none"/>
              </w:rPr>
            </w:pPr>
          </w:p>
        </w:tc>
      </w:tr>
      <w:tr w14:paraId="40F95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CC8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98D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数据收集设备1</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B42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5AE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D23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40819">
            <w:pPr>
              <w:jc w:val="center"/>
              <w:rPr>
                <w:rFonts w:hint="eastAsia" w:ascii="宋体" w:hAnsi="宋体" w:eastAsia="宋体" w:cs="宋体"/>
                <w:i w:val="0"/>
                <w:iCs w:val="0"/>
                <w:color w:val="000000"/>
                <w:sz w:val="20"/>
                <w:szCs w:val="20"/>
                <w:u w:val="none"/>
              </w:rPr>
            </w:pPr>
          </w:p>
        </w:tc>
      </w:tr>
      <w:tr w14:paraId="2EA4F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9F1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36F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数据收集设备2</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10B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7AF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E63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D483D">
            <w:pPr>
              <w:jc w:val="center"/>
              <w:rPr>
                <w:rFonts w:hint="eastAsia" w:ascii="宋体" w:hAnsi="宋体" w:eastAsia="宋体" w:cs="宋体"/>
                <w:i w:val="0"/>
                <w:iCs w:val="0"/>
                <w:color w:val="000000"/>
                <w:sz w:val="20"/>
                <w:szCs w:val="20"/>
                <w:u w:val="none"/>
              </w:rPr>
            </w:pPr>
          </w:p>
        </w:tc>
      </w:tr>
      <w:tr w14:paraId="18080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4D1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D64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工业级交换机千M</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BAA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7EE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FF3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138</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97685">
            <w:pPr>
              <w:jc w:val="center"/>
              <w:rPr>
                <w:rFonts w:hint="eastAsia" w:ascii="宋体" w:hAnsi="宋体" w:eastAsia="宋体" w:cs="宋体"/>
                <w:i w:val="0"/>
                <w:iCs w:val="0"/>
                <w:color w:val="000000"/>
                <w:sz w:val="20"/>
                <w:szCs w:val="20"/>
                <w:u w:val="none"/>
              </w:rPr>
            </w:pPr>
          </w:p>
        </w:tc>
      </w:tr>
      <w:tr w14:paraId="41ED8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C07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516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抱杆箱</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6D7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F32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CE5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138</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3A54D">
            <w:pPr>
              <w:jc w:val="center"/>
              <w:rPr>
                <w:rFonts w:hint="eastAsia" w:ascii="宋体" w:hAnsi="宋体" w:eastAsia="宋体" w:cs="宋体"/>
                <w:i w:val="0"/>
                <w:iCs w:val="0"/>
                <w:color w:val="000000"/>
                <w:sz w:val="20"/>
                <w:szCs w:val="20"/>
                <w:u w:val="none"/>
              </w:rPr>
            </w:pPr>
          </w:p>
        </w:tc>
      </w:tr>
      <w:tr w14:paraId="04F61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BCC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937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电源线</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D6F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国标，纯铜，RVV3×1.0mm²</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688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288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6210</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6596D">
            <w:pPr>
              <w:jc w:val="center"/>
              <w:rPr>
                <w:rFonts w:hint="eastAsia" w:ascii="宋体" w:hAnsi="宋体" w:eastAsia="宋体" w:cs="宋体"/>
                <w:i w:val="0"/>
                <w:iCs w:val="0"/>
                <w:color w:val="000000"/>
                <w:sz w:val="20"/>
                <w:szCs w:val="20"/>
                <w:u w:val="none"/>
              </w:rPr>
            </w:pPr>
          </w:p>
        </w:tc>
      </w:tr>
      <w:tr w14:paraId="2128E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374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D76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信号线</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714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补光灯、爆闪灯信号线</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2CE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ECC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70756">
            <w:pPr>
              <w:jc w:val="center"/>
              <w:rPr>
                <w:rFonts w:hint="eastAsia" w:ascii="宋体" w:hAnsi="宋体" w:eastAsia="宋体" w:cs="宋体"/>
                <w:i w:val="0"/>
                <w:iCs w:val="0"/>
                <w:color w:val="000000"/>
                <w:sz w:val="20"/>
                <w:szCs w:val="20"/>
                <w:u w:val="none"/>
              </w:rPr>
            </w:pPr>
          </w:p>
        </w:tc>
      </w:tr>
      <w:tr w14:paraId="4017F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3DE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BBE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六类网线</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755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国标，室外，</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C09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AB4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6210</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D0E1D">
            <w:pPr>
              <w:jc w:val="center"/>
              <w:rPr>
                <w:rFonts w:hint="eastAsia" w:ascii="宋体" w:hAnsi="宋体" w:eastAsia="宋体" w:cs="宋体"/>
                <w:i w:val="0"/>
                <w:iCs w:val="0"/>
                <w:color w:val="000000"/>
                <w:sz w:val="20"/>
                <w:szCs w:val="20"/>
                <w:u w:val="none"/>
              </w:rPr>
            </w:pPr>
          </w:p>
        </w:tc>
      </w:tr>
      <w:tr w14:paraId="363DC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11A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A90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光纤租赁</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BFB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租赁包含人民路、北兴路、黄海路、春柳路以上四条路的综合杆的所有设备运营商光纤链路，不低于千兆带宽，5年租赁费用。</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910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A8C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557D1">
            <w:pPr>
              <w:jc w:val="center"/>
              <w:rPr>
                <w:rFonts w:hint="eastAsia" w:ascii="宋体" w:hAnsi="宋体" w:eastAsia="宋体" w:cs="宋体"/>
                <w:i w:val="0"/>
                <w:iCs w:val="0"/>
                <w:color w:val="000000"/>
                <w:sz w:val="20"/>
                <w:szCs w:val="20"/>
                <w:u w:val="none"/>
              </w:rPr>
            </w:pPr>
          </w:p>
        </w:tc>
      </w:tr>
      <w:tr w14:paraId="2971E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E18E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50</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234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点位整改</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2F64F">
            <w:pPr>
              <w:jc w:val="left"/>
              <w:rPr>
                <w:rFonts w:hint="eastAsia" w:ascii="宋体" w:hAnsi="宋体" w:eastAsia="宋体" w:cs="宋体"/>
                <w:i w:val="0"/>
                <w:iCs w:val="0"/>
                <w:color w:val="000000"/>
                <w:sz w:val="20"/>
                <w:szCs w:val="20"/>
                <w:u w:val="none"/>
              </w:rPr>
            </w:pP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5CD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37A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138</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DB6ED">
            <w:pPr>
              <w:jc w:val="center"/>
              <w:rPr>
                <w:rFonts w:hint="eastAsia" w:ascii="宋体" w:hAnsi="宋体" w:eastAsia="宋体" w:cs="宋体"/>
                <w:i w:val="0"/>
                <w:iCs w:val="0"/>
                <w:color w:val="000000"/>
                <w:sz w:val="20"/>
                <w:szCs w:val="20"/>
                <w:u w:val="none"/>
              </w:rPr>
            </w:pPr>
          </w:p>
        </w:tc>
      </w:tr>
      <w:tr w14:paraId="201A7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88E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A33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800*600的标识牌</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BBB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铝合金材质，Ⅲ类以上反光膜 标牌厚度≥2mm，内容制作前需由交警大队核实，含交通违法监控提示牌等制作、安装及运输等。</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085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7D8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168</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D2196">
            <w:pPr>
              <w:jc w:val="center"/>
              <w:rPr>
                <w:rFonts w:hint="eastAsia" w:ascii="宋体" w:hAnsi="宋体" w:eastAsia="宋体" w:cs="宋体"/>
                <w:i w:val="0"/>
                <w:iCs w:val="0"/>
                <w:color w:val="000000"/>
                <w:sz w:val="20"/>
                <w:szCs w:val="20"/>
                <w:u w:val="none"/>
              </w:rPr>
            </w:pPr>
          </w:p>
        </w:tc>
      </w:tr>
      <w:tr w14:paraId="7BCDA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8C0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563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800圆标识牌</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98F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铝合金材质，Ⅲ类以上反光膜 标牌厚度≥2mm，内容制作前需由交警大队核实，含交通违法监控提示牌等制作、安装及运输等。</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E0B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62E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156</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B8F73">
            <w:pPr>
              <w:jc w:val="center"/>
              <w:rPr>
                <w:rFonts w:hint="eastAsia" w:ascii="宋体" w:hAnsi="宋体" w:eastAsia="宋体" w:cs="宋体"/>
                <w:i w:val="0"/>
                <w:iCs w:val="0"/>
                <w:color w:val="000000"/>
                <w:sz w:val="20"/>
                <w:szCs w:val="20"/>
                <w:u w:val="none"/>
              </w:rPr>
            </w:pPr>
          </w:p>
        </w:tc>
      </w:tr>
      <w:tr w14:paraId="57286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351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F0C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700三角牌</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55D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铝合金材质，Ⅲ类以上反光膜 标牌厚度≥2mm，内容制作前需由交警大队核实，含交通违法监控提示牌等制作、安装及运输等。</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60B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18D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142</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64C72">
            <w:pPr>
              <w:jc w:val="center"/>
              <w:rPr>
                <w:rFonts w:hint="eastAsia" w:ascii="宋体" w:hAnsi="宋体" w:eastAsia="宋体" w:cs="宋体"/>
                <w:i w:val="0"/>
                <w:iCs w:val="0"/>
                <w:color w:val="000000"/>
                <w:sz w:val="20"/>
                <w:szCs w:val="20"/>
                <w:u w:val="none"/>
              </w:rPr>
            </w:pPr>
          </w:p>
        </w:tc>
      </w:tr>
      <w:tr w14:paraId="7F288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207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629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标牌覆膜</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835F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更换现有标牌反光膜，Ⅲ类以上反光膜，内容制作前需由交警大队核实</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EA1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BEF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394C0">
            <w:pPr>
              <w:jc w:val="center"/>
              <w:rPr>
                <w:rFonts w:hint="eastAsia" w:ascii="宋体" w:hAnsi="宋体" w:eastAsia="宋体" w:cs="宋体"/>
                <w:i w:val="0"/>
                <w:iCs w:val="0"/>
                <w:color w:val="000000"/>
                <w:sz w:val="20"/>
                <w:szCs w:val="20"/>
                <w:u w:val="none"/>
              </w:rPr>
            </w:pPr>
          </w:p>
        </w:tc>
      </w:tr>
      <w:tr w14:paraId="14E05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0C772">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55</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B618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800*1200标识牌（含抱箍）</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9B10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铝合金材质，Ⅲ类以上反光膜 标牌厚度≥2mm，内容制作前需由交警大队核实，含交通违法监控提示牌等制作、安装及运输等。</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A2846">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6D9A8">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B6AA5">
            <w:pPr>
              <w:jc w:val="center"/>
              <w:rPr>
                <w:rFonts w:hint="eastAsia" w:ascii="宋体" w:hAnsi="宋体" w:eastAsia="宋体" w:cs="宋体"/>
                <w:i w:val="0"/>
                <w:iCs w:val="0"/>
                <w:color w:val="000000"/>
                <w:sz w:val="20"/>
                <w:szCs w:val="20"/>
                <w:u w:val="none"/>
              </w:rPr>
            </w:pPr>
          </w:p>
        </w:tc>
      </w:tr>
      <w:tr w14:paraId="256FD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681AE">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56</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3F204">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4T企业级硬盘</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97A9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（非加密）</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FE3D3">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块</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6F4A9">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250</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CDDEC">
            <w:pPr>
              <w:jc w:val="center"/>
              <w:rPr>
                <w:rFonts w:hint="eastAsia" w:ascii="宋体" w:hAnsi="宋体" w:eastAsia="宋体" w:cs="宋体"/>
                <w:i w:val="0"/>
                <w:iCs w:val="0"/>
                <w:color w:val="000000"/>
                <w:sz w:val="20"/>
                <w:szCs w:val="20"/>
                <w:u w:val="none"/>
              </w:rPr>
            </w:pPr>
          </w:p>
        </w:tc>
      </w:tr>
      <w:tr w14:paraId="63E99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5A11B">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57</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B98F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16T企业级盘</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C9BC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（加密）</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2C7E1">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块</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FD025">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50</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AD8FF">
            <w:pPr>
              <w:jc w:val="center"/>
              <w:rPr>
                <w:rFonts w:hint="eastAsia" w:ascii="宋体" w:hAnsi="宋体" w:eastAsia="宋体" w:cs="宋体"/>
                <w:i w:val="0"/>
                <w:iCs w:val="0"/>
                <w:color w:val="000000"/>
                <w:sz w:val="20"/>
                <w:szCs w:val="20"/>
                <w:u w:val="none"/>
              </w:rPr>
            </w:pPr>
          </w:p>
        </w:tc>
      </w:tr>
      <w:tr w14:paraId="20C9C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DD08F">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六</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2DB9A">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工程应急处置工作量</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9325E">
            <w:pPr>
              <w:keepNext w:val="0"/>
              <w:keepLines w:val="0"/>
              <w:widowControl/>
              <w:suppressLineNumbers w:val="0"/>
              <w:jc w:val="left"/>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最终数量根据工程实际使用工作量结算</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E4C551">
            <w:pPr>
              <w:jc w:val="center"/>
              <w:rPr>
                <w:rFonts w:hint="eastAsia" w:ascii="宋体" w:hAnsi="宋体" w:eastAsia="宋体" w:cs="宋体"/>
                <w:i w:val="0"/>
                <w:iCs w:val="0"/>
                <w:color w:val="000000"/>
                <w:sz w:val="22"/>
                <w:szCs w:val="22"/>
                <w:u w:val="none"/>
              </w:rPr>
            </w:pP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1BE4DA">
            <w:pPr>
              <w:jc w:val="center"/>
              <w:rPr>
                <w:rFonts w:hint="eastAsia" w:ascii="宋体" w:hAnsi="宋体" w:eastAsia="宋体" w:cs="宋体"/>
                <w:i w:val="0"/>
                <w:iCs w:val="0"/>
                <w:color w:val="000000"/>
                <w:sz w:val="22"/>
                <w:szCs w:val="22"/>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054CA">
            <w:pPr>
              <w:jc w:val="center"/>
              <w:rPr>
                <w:rFonts w:hint="eastAsia" w:ascii="宋体" w:hAnsi="宋体" w:eastAsia="宋体" w:cs="宋体"/>
                <w:i w:val="0"/>
                <w:iCs w:val="0"/>
                <w:color w:val="000000"/>
                <w:sz w:val="20"/>
                <w:szCs w:val="20"/>
                <w:u w:val="none"/>
              </w:rPr>
            </w:pPr>
          </w:p>
        </w:tc>
      </w:tr>
      <w:tr w14:paraId="43414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F30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631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信号灯电源线</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F69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国标，纯铜，RVV3×1.0mm²</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123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694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6CBA7B">
            <w:pPr>
              <w:jc w:val="center"/>
              <w:rPr>
                <w:rFonts w:hint="eastAsia" w:ascii="宋体" w:hAnsi="宋体" w:eastAsia="宋体" w:cs="宋体"/>
                <w:i w:val="0"/>
                <w:iCs w:val="0"/>
                <w:color w:val="000000"/>
                <w:sz w:val="22"/>
                <w:szCs w:val="22"/>
                <w:u w:val="none"/>
              </w:rPr>
            </w:pPr>
          </w:p>
        </w:tc>
      </w:tr>
      <w:tr w14:paraId="2D109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658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A4F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电源线</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6BD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国标，纯铜，RVV-2*6.0mm²</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2F3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997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FB9C3B">
            <w:pPr>
              <w:jc w:val="center"/>
              <w:rPr>
                <w:rFonts w:hint="eastAsia" w:ascii="宋体" w:hAnsi="宋体" w:eastAsia="宋体" w:cs="宋体"/>
                <w:i w:val="0"/>
                <w:iCs w:val="0"/>
                <w:color w:val="000000"/>
                <w:sz w:val="22"/>
                <w:szCs w:val="22"/>
                <w:u w:val="none"/>
              </w:rPr>
            </w:pPr>
          </w:p>
        </w:tc>
      </w:tr>
      <w:tr w14:paraId="44D43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3BA6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60</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C80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电源线</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0D3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国标，纯铜，RVV-3*2.5mm²</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D95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55D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6B39C6">
            <w:pPr>
              <w:jc w:val="center"/>
              <w:rPr>
                <w:rFonts w:hint="eastAsia" w:ascii="宋体" w:hAnsi="宋体" w:eastAsia="宋体" w:cs="宋体"/>
                <w:i w:val="0"/>
                <w:iCs w:val="0"/>
                <w:color w:val="000000"/>
                <w:sz w:val="22"/>
                <w:szCs w:val="22"/>
                <w:u w:val="none"/>
              </w:rPr>
            </w:pPr>
          </w:p>
        </w:tc>
      </w:tr>
      <w:tr w14:paraId="50274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39A7B">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61</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1A8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信号线</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ACF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补光灯、爆闪灯信号线</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43C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B75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EC2E61">
            <w:pPr>
              <w:jc w:val="center"/>
              <w:rPr>
                <w:rFonts w:hint="eastAsia" w:ascii="宋体" w:hAnsi="宋体" w:eastAsia="宋体" w:cs="宋体"/>
                <w:i w:val="0"/>
                <w:iCs w:val="0"/>
                <w:color w:val="000000"/>
                <w:sz w:val="22"/>
                <w:szCs w:val="22"/>
                <w:u w:val="none"/>
              </w:rPr>
            </w:pPr>
          </w:p>
        </w:tc>
      </w:tr>
      <w:tr w14:paraId="3E106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82B8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62</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292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六类网线</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07E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国标，室外，</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DD7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851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094D4C">
            <w:pPr>
              <w:jc w:val="center"/>
              <w:rPr>
                <w:rFonts w:hint="eastAsia" w:ascii="宋体" w:hAnsi="宋体" w:eastAsia="宋体" w:cs="宋体"/>
                <w:i w:val="0"/>
                <w:iCs w:val="0"/>
                <w:color w:val="000000"/>
                <w:sz w:val="22"/>
                <w:szCs w:val="22"/>
                <w:u w:val="none"/>
              </w:rPr>
            </w:pPr>
          </w:p>
        </w:tc>
      </w:tr>
      <w:tr w14:paraId="7BA7C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C3178">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63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BFD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单模光缆-4芯</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B63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4芯单模，含熔纤、配套辅材等</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71A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572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81F12E">
            <w:pPr>
              <w:jc w:val="center"/>
              <w:rPr>
                <w:rFonts w:hint="eastAsia" w:ascii="宋体" w:hAnsi="宋体" w:eastAsia="宋体" w:cs="宋体"/>
                <w:i w:val="0"/>
                <w:iCs w:val="0"/>
                <w:color w:val="000000"/>
                <w:sz w:val="22"/>
                <w:szCs w:val="22"/>
                <w:u w:val="none"/>
              </w:rPr>
            </w:pPr>
          </w:p>
        </w:tc>
      </w:tr>
      <w:tr w14:paraId="7BEFD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003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1DE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管道沟通2孔Φ50</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D6E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按《公安交通管理外场设备基础施工通用要求》实施</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9E4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8F9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493258">
            <w:pPr>
              <w:jc w:val="center"/>
              <w:rPr>
                <w:rFonts w:hint="eastAsia" w:ascii="宋体" w:hAnsi="宋体" w:eastAsia="宋体" w:cs="宋体"/>
                <w:i w:val="0"/>
                <w:iCs w:val="0"/>
                <w:color w:val="000000"/>
                <w:sz w:val="22"/>
                <w:szCs w:val="22"/>
                <w:u w:val="none"/>
              </w:rPr>
            </w:pPr>
          </w:p>
        </w:tc>
      </w:tr>
      <w:tr w14:paraId="45E61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05548">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七</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C29DF">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调试费</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578E4">
            <w:pPr>
              <w:keepNext w:val="0"/>
              <w:keepLines w:val="0"/>
              <w:widowControl/>
              <w:suppressLineNumbers w:val="0"/>
              <w:jc w:val="left"/>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该项目所有采购的设备安装调试费</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7E4996">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4B112C">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5ECACD">
            <w:pPr>
              <w:jc w:val="center"/>
              <w:rPr>
                <w:rFonts w:hint="eastAsia" w:ascii="宋体" w:hAnsi="宋体" w:eastAsia="宋体" w:cs="宋体"/>
                <w:i w:val="0"/>
                <w:iCs w:val="0"/>
                <w:color w:val="000000"/>
                <w:sz w:val="22"/>
                <w:szCs w:val="22"/>
                <w:u w:val="none"/>
              </w:rPr>
            </w:pPr>
          </w:p>
        </w:tc>
      </w:tr>
      <w:tr w14:paraId="7B9E9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FFCDE">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八</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43CCF">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安全文明施工费</w:t>
            </w:r>
          </w:p>
        </w:tc>
        <w:tc>
          <w:tcPr>
            <w:tcW w:w="2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73EFE">
            <w:pPr>
              <w:keepNext w:val="0"/>
              <w:keepLines w:val="0"/>
              <w:widowControl/>
              <w:suppressLineNumbers w:val="0"/>
              <w:jc w:val="left"/>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用于本项目安全施工、文明施工的总体费用</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20D9B3">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B6E920">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C745AC">
            <w:pPr>
              <w:jc w:val="center"/>
              <w:rPr>
                <w:rFonts w:hint="eastAsia" w:ascii="宋体" w:hAnsi="宋体" w:eastAsia="宋体" w:cs="宋体"/>
                <w:i w:val="0"/>
                <w:iCs w:val="0"/>
                <w:color w:val="000000"/>
                <w:sz w:val="22"/>
                <w:szCs w:val="22"/>
                <w:u w:val="none"/>
              </w:rPr>
            </w:pPr>
          </w:p>
        </w:tc>
      </w:tr>
    </w:tbl>
    <w:p w14:paraId="66FDF4A6">
      <w:pPr>
        <w:spacing w:line="360" w:lineRule="auto"/>
        <w:ind w:firstLine="0" w:firstLineChars="0"/>
        <w:rPr>
          <w:rFonts w:hint="eastAsia" w:ascii="宋体" w:hAnsi="宋体" w:eastAsia="宋体" w:cs="宋体"/>
          <w:color w:val="auto"/>
          <w:kern w:val="2"/>
          <w:sz w:val="24"/>
        </w:rPr>
      </w:pP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65"/>
        <w:gridCol w:w="1857"/>
        <w:gridCol w:w="1758"/>
        <w:gridCol w:w="6679"/>
        <w:gridCol w:w="2166"/>
        <w:gridCol w:w="649"/>
      </w:tblGrid>
      <w:tr w14:paraId="678D3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trPr>
        <w:tc>
          <w:tcPr>
            <w:tcW w:w="5000" w:type="pct"/>
            <w:gridSpan w:val="6"/>
            <w:shd w:val="clear" w:color="auto" w:fill="auto"/>
            <w:noWrap/>
            <w:vAlign w:val="center"/>
          </w:tcPr>
          <w:p w14:paraId="21503D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2"/>
                <w:sz w:val="32"/>
                <w:szCs w:val="32"/>
                <w:u w:val="none"/>
              </w:rPr>
            </w:pPr>
            <w:r>
              <w:rPr>
                <w:rFonts w:hint="eastAsia" w:ascii="宋体" w:hAnsi="宋体" w:eastAsia="宋体" w:cs="宋体"/>
                <w:b/>
                <w:bCs/>
                <w:i w:val="0"/>
                <w:iCs w:val="0"/>
                <w:color w:val="auto"/>
                <w:kern w:val="0"/>
                <w:sz w:val="32"/>
                <w:szCs w:val="32"/>
                <w:u w:val="none"/>
                <w:lang w:val="en-US" w:eastAsia="zh-CN" w:bidi="ar"/>
              </w:rPr>
              <w:t>人脸授权、车辆全属性解析算法</w:t>
            </w:r>
          </w:p>
        </w:tc>
      </w:tr>
      <w:tr w14:paraId="68B8C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376" w:type="pct"/>
            <w:shd w:val="clear" w:color="auto" w:fill="auto"/>
            <w:vAlign w:val="center"/>
          </w:tcPr>
          <w:p w14:paraId="0CCD00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2"/>
                <w:sz w:val="20"/>
                <w:szCs w:val="20"/>
                <w:u w:val="none"/>
              </w:rPr>
            </w:pPr>
            <w:r>
              <w:rPr>
                <w:rFonts w:hint="eastAsia" w:ascii="宋体" w:hAnsi="宋体" w:eastAsia="宋体" w:cs="宋体"/>
                <w:b/>
                <w:bCs/>
                <w:i w:val="0"/>
                <w:iCs w:val="0"/>
                <w:color w:val="auto"/>
                <w:kern w:val="0"/>
                <w:sz w:val="20"/>
                <w:szCs w:val="20"/>
                <w:u w:val="none"/>
                <w:lang w:val="en-US" w:eastAsia="zh-CN" w:bidi="ar"/>
              </w:rPr>
              <w:t>序号</w:t>
            </w:r>
          </w:p>
        </w:tc>
        <w:tc>
          <w:tcPr>
            <w:tcW w:w="655" w:type="pct"/>
            <w:shd w:val="clear" w:color="auto" w:fill="auto"/>
            <w:vAlign w:val="center"/>
          </w:tcPr>
          <w:p w14:paraId="313F79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2"/>
                <w:sz w:val="20"/>
                <w:szCs w:val="20"/>
                <w:u w:val="none"/>
              </w:rPr>
            </w:pPr>
            <w:r>
              <w:rPr>
                <w:rFonts w:hint="eastAsia" w:ascii="宋体" w:hAnsi="宋体" w:eastAsia="宋体" w:cs="宋体"/>
                <w:b/>
                <w:bCs/>
                <w:i w:val="0"/>
                <w:iCs w:val="0"/>
                <w:color w:val="auto"/>
                <w:kern w:val="0"/>
                <w:sz w:val="20"/>
                <w:szCs w:val="20"/>
                <w:u w:val="none"/>
                <w:lang w:val="en-US" w:eastAsia="zh-CN" w:bidi="ar"/>
              </w:rPr>
              <w:t>名称</w:t>
            </w:r>
          </w:p>
        </w:tc>
        <w:tc>
          <w:tcPr>
            <w:tcW w:w="620" w:type="pct"/>
            <w:shd w:val="clear" w:color="auto" w:fill="auto"/>
            <w:vAlign w:val="center"/>
          </w:tcPr>
          <w:p w14:paraId="5F26DC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2"/>
                <w:sz w:val="20"/>
                <w:szCs w:val="20"/>
                <w:u w:val="none"/>
              </w:rPr>
            </w:pPr>
            <w:r>
              <w:rPr>
                <w:rFonts w:hint="eastAsia" w:ascii="宋体" w:hAnsi="宋体" w:eastAsia="宋体" w:cs="宋体"/>
                <w:b/>
                <w:bCs/>
                <w:i w:val="0"/>
                <w:iCs w:val="0"/>
                <w:color w:val="auto"/>
                <w:kern w:val="0"/>
                <w:sz w:val="20"/>
                <w:szCs w:val="20"/>
                <w:u w:val="none"/>
                <w:lang w:val="en-US" w:eastAsia="zh-CN" w:bidi="ar"/>
              </w:rPr>
              <w:t>　</w:t>
            </w:r>
          </w:p>
        </w:tc>
        <w:tc>
          <w:tcPr>
            <w:tcW w:w="2356" w:type="pct"/>
            <w:shd w:val="clear" w:color="auto" w:fill="auto"/>
            <w:vAlign w:val="center"/>
          </w:tcPr>
          <w:p w14:paraId="63EF66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2"/>
                <w:sz w:val="20"/>
                <w:szCs w:val="20"/>
                <w:u w:val="none"/>
                <w:lang w:val="en-US"/>
              </w:rPr>
            </w:pPr>
            <w:r>
              <w:rPr>
                <w:rFonts w:hint="eastAsia" w:ascii="宋体" w:hAnsi="宋体" w:eastAsia="宋体" w:cs="宋体"/>
                <w:b/>
                <w:bCs/>
                <w:i w:val="0"/>
                <w:iCs w:val="0"/>
                <w:color w:val="auto"/>
                <w:kern w:val="0"/>
                <w:sz w:val="20"/>
                <w:szCs w:val="20"/>
                <w:u w:val="none"/>
                <w:lang w:val="en-US" w:eastAsia="zh-CN" w:bidi="ar"/>
              </w:rPr>
              <w:t>核心参数</w:t>
            </w:r>
          </w:p>
        </w:tc>
        <w:tc>
          <w:tcPr>
            <w:tcW w:w="764" w:type="pct"/>
            <w:shd w:val="clear" w:color="auto" w:fill="auto"/>
            <w:vAlign w:val="center"/>
          </w:tcPr>
          <w:p w14:paraId="25C3F3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2"/>
                <w:sz w:val="20"/>
                <w:szCs w:val="20"/>
                <w:u w:val="none"/>
              </w:rPr>
            </w:pPr>
            <w:r>
              <w:rPr>
                <w:rFonts w:hint="eastAsia" w:ascii="宋体" w:hAnsi="宋体" w:eastAsia="宋体" w:cs="宋体"/>
                <w:b/>
                <w:bCs/>
                <w:i w:val="0"/>
                <w:iCs w:val="0"/>
                <w:color w:val="auto"/>
                <w:kern w:val="0"/>
                <w:sz w:val="20"/>
                <w:szCs w:val="20"/>
                <w:u w:val="none"/>
                <w:lang w:val="en-US" w:eastAsia="zh-CN" w:bidi="ar"/>
              </w:rPr>
              <w:t>数量</w:t>
            </w:r>
          </w:p>
        </w:tc>
        <w:tc>
          <w:tcPr>
            <w:tcW w:w="226" w:type="pct"/>
            <w:shd w:val="clear" w:color="auto" w:fill="auto"/>
            <w:vAlign w:val="center"/>
          </w:tcPr>
          <w:p w14:paraId="0602BC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2"/>
                <w:sz w:val="20"/>
                <w:szCs w:val="20"/>
                <w:u w:val="none"/>
              </w:rPr>
            </w:pPr>
            <w:r>
              <w:rPr>
                <w:rFonts w:hint="eastAsia" w:ascii="宋体" w:hAnsi="宋体" w:eastAsia="宋体" w:cs="宋体"/>
                <w:b/>
                <w:bCs/>
                <w:i w:val="0"/>
                <w:iCs w:val="0"/>
                <w:color w:val="auto"/>
                <w:kern w:val="0"/>
                <w:sz w:val="20"/>
                <w:szCs w:val="20"/>
                <w:u w:val="none"/>
                <w:lang w:val="en-US" w:eastAsia="zh-CN" w:bidi="ar"/>
              </w:rPr>
              <w:t>单位</w:t>
            </w:r>
          </w:p>
        </w:tc>
      </w:tr>
      <w:tr w14:paraId="17399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0" w:hRule="atLeast"/>
        </w:trPr>
        <w:tc>
          <w:tcPr>
            <w:tcW w:w="376" w:type="pct"/>
            <w:shd w:val="clear" w:color="auto" w:fill="auto"/>
            <w:vAlign w:val="center"/>
          </w:tcPr>
          <w:p w14:paraId="06F6DC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655" w:type="pct"/>
            <w:shd w:val="clear" w:color="auto" w:fill="auto"/>
            <w:vAlign w:val="center"/>
          </w:tcPr>
          <w:p w14:paraId="253EE8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车辆全属性解析算法</w:t>
            </w:r>
          </w:p>
        </w:tc>
        <w:tc>
          <w:tcPr>
            <w:tcW w:w="620" w:type="pct"/>
            <w:shd w:val="clear" w:color="auto" w:fill="auto"/>
            <w:vAlign w:val="center"/>
          </w:tcPr>
          <w:p w14:paraId="0B7DE7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　</w:t>
            </w:r>
          </w:p>
        </w:tc>
        <w:tc>
          <w:tcPr>
            <w:tcW w:w="2356" w:type="pct"/>
            <w:shd w:val="clear" w:color="auto" w:fill="auto"/>
            <w:vAlign w:val="center"/>
          </w:tcPr>
          <w:p w14:paraId="14B633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详见“主要设备技术参数要求”</w:t>
            </w:r>
          </w:p>
        </w:tc>
        <w:tc>
          <w:tcPr>
            <w:tcW w:w="764" w:type="pct"/>
            <w:shd w:val="clear" w:color="auto" w:fill="auto"/>
            <w:vAlign w:val="center"/>
          </w:tcPr>
          <w:p w14:paraId="660370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1200</w:t>
            </w:r>
          </w:p>
        </w:tc>
        <w:tc>
          <w:tcPr>
            <w:tcW w:w="226" w:type="pct"/>
            <w:shd w:val="clear" w:color="auto" w:fill="auto"/>
            <w:vAlign w:val="center"/>
          </w:tcPr>
          <w:p w14:paraId="6231C7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路</w:t>
            </w:r>
          </w:p>
        </w:tc>
      </w:tr>
      <w:tr w14:paraId="66DDF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376" w:type="pct"/>
            <w:shd w:val="clear" w:color="auto" w:fill="auto"/>
            <w:noWrap/>
            <w:vAlign w:val="center"/>
          </w:tcPr>
          <w:p w14:paraId="30401E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655" w:type="pct"/>
            <w:vMerge w:val="restart"/>
            <w:shd w:val="clear" w:color="auto" w:fill="auto"/>
            <w:noWrap/>
            <w:vAlign w:val="center"/>
          </w:tcPr>
          <w:p w14:paraId="3182F5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人脸授权</w:t>
            </w:r>
          </w:p>
        </w:tc>
        <w:tc>
          <w:tcPr>
            <w:tcW w:w="620" w:type="pct"/>
            <w:shd w:val="clear" w:color="auto" w:fill="auto"/>
            <w:noWrap/>
            <w:vAlign w:val="center"/>
          </w:tcPr>
          <w:p w14:paraId="736619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人脸解析</w:t>
            </w:r>
          </w:p>
        </w:tc>
        <w:tc>
          <w:tcPr>
            <w:tcW w:w="2356" w:type="pct"/>
            <w:shd w:val="clear" w:color="auto" w:fill="auto"/>
            <w:vAlign w:val="center"/>
          </w:tcPr>
          <w:p w14:paraId="194825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详见“主要设备技术参数要求”</w:t>
            </w:r>
          </w:p>
        </w:tc>
        <w:tc>
          <w:tcPr>
            <w:tcW w:w="764" w:type="pct"/>
            <w:vMerge w:val="restart"/>
            <w:shd w:val="clear" w:color="auto" w:fill="auto"/>
            <w:vAlign w:val="center"/>
          </w:tcPr>
          <w:p w14:paraId="2C9DC8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346</w:t>
            </w:r>
          </w:p>
        </w:tc>
        <w:tc>
          <w:tcPr>
            <w:tcW w:w="226" w:type="pct"/>
            <w:vMerge w:val="restart"/>
            <w:shd w:val="clear" w:color="auto" w:fill="auto"/>
            <w:vAlign w:val="center"/>
          </w:tcPr>
          <w:p w14:paraId="4F7D95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路</w:t>
            </w:r>
          </w:p>
        </w:tc>
      </w:tr>
      <w:tr w14:paraId="1D39C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376" w:type="pct"/>
            <w:shd w:val="clear" w:color="auto" w:fill="auto"/>
            <w:noWrap/>
            <w:vAlign w:val="center"/>
          </w:tcPr>
          <w:p w14:paraId="5B7FCC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655" w:type="pct"/>
            <w:vMerge w:val="continue"/>
            <w:shd w:val="clear" w:color="auto" w:fill="auto"/>
            <w:noWrap/>
            <w:vAlign w:val="center"/>
          </w:tcPr>
          <w:p w14:paraId="7EF041E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kern w:val="2"/>
                <w:sz w:val="22"/>
                <w:szCs w:val="22"/>
                <w:u w:val="none"/>
              </w:rPr>
            </w:pPr>
          </w:p>
        </w:tc>
        <w:tc>
          <w:tcPr>
            <w:tcW w:w="620" w:type="pct"/>
            <w:shd w:val="clear" w:color="auto" w:fill="auto"/>
            <w:noWrap/>
            <w:vAlign w:val="center"/>
          </w:tcPr>
          <w:p w14:paraId="7DFCE2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人脸聚档</w:t>
            </w:r>
          </w:p>
        </w:tc>
        <w:tc>
          <w:tcPr>
            <w:tcW w:w="2356" w:type="pct"/>
            <w:shd w:val="clear" w:color="auto" w:fill="auto"/>
            <w:vAlign w:val="center"/>
          </w:tcPr>
          <w:p w14:paraId="7975EA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详见“主要设备技术参数要求”</w:t>
            </w:r>
          </w:p>
        </w:tc>
        <w:tc>
          <w:tcPr>
            <w:tcW w:w="764" w:type="pct"/>
            <w:vMerge w:val="continue"/>
            <w:shd w:val="clear" w:color="auto" w:fill="auto"/>
            <w:vAlign w:val="center"/>
          </w:tcPr>
          <w:p w14:paraId="03EF1A1E">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kern w:val="2"/>
                <w:sz w:val="22"/>
                <w:szCs w:val="22"/>
                <w:u w:val="none"/>
              </w:rPr>
            </w:pPr>
          </w:p>
        </w:tc>
        <w:tc>
          <w:tcPr>
            <w:tcW w:w="226" w:type="pct"/>
            <w:vMerge w:val="continue"/>
            <w:shd w:val="clear" w:color="auto" w:fill="auto"/>
            <w:vAlign w:val="center"/>
          </w:tcPr>
          <w:p w14:paraId="642381D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kern w:val="2"/>
                <w:sz w:val="22"/>
                <w:szCs w:val="22"/>
                <w:u w:val="none"/>
              </w:rPr>
            </w:pPr>
          </w:p>
        </w:tc>
      </w:tr>
      <w:tr w14:paraId="3B903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376" w:type="pct"/>
            <w:shd w:val="clear" w:color="auto" w:fill="auto"/>
            <w:noWrap/>
            <w:vAlign w:val="center"/>
          </w:tcPr>
          <w:p w14:paraId="7D3D4E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655" w:type="pct"/>
            <w:vMerge w:val="continue"/>
            <w:shd w:val="clear" w:color="auto" w:fill="auto"/>
            <w:noWrap/>
            <w:vAlign w:val="center"/>
          </w:tcPr>
          <w:p w14:paraId="3A2C228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kern w:val="2"/>
                <w:sz w:val="22"/>
                <w:szCs w:val="22"/>
                <w:u w:val="none"/>
              </w:rPr>
            </w:pPr>
          </w:p>
        </w:tc>
        <w:tc>
          <w:tcPr>
            <w:tcW w:w="620" w:type="pct"/>
            <w:shd w:val="clear" w:color="auto" w:fill="auto"/>
            <w:noWrap/>
            <w:vAlign w:val="center"/>
          </w:tcPr>
          <w:p w14:paraId="4C8A36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人体解析</w:t>
            </w:r>
          </w:p>
        </w:tc>
        <w:tc>
          <w:tcPr>
            <w:tcW w:w="2356" w:type="pct"/>
            <w:shd w:val="clear" w:color="auto" w:fill="auto"/>
            <w:vAlign w:val="center"/>
          </w:tcPr>
          <w:p w14:paraId="008A62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详见“主要设备技术参数要求”</w:t>
            </w:r>
          </w:p>
        </w:tc>
        <w:tc>
          <w:tcPr>
            <w:tcW w:w="764" w:type="pct"/>
            <w:vMerge w:val="continue"/>
            <w:shd w:val="clear" w:color="auto" w:fill="auto"/>
            <w:vAlign w:val="center"/>
          </w:tcPr>
          <w:p w14:paraId="68BDE0C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kern w:val="2"/>
                <w:sz w:val="22"/>
                <w:szCs w:val="22"/>
                <w:u w:val="none"/>
              </w:rPr>
            </w:pPr>
          </w:p>
        </w:tc>
        <w:tc>
          <w:tcPr>
            <w:tcW w:w="226" w:type="pct"/>
            <w:vMerge w:val="continue"/>
            <w:shd w:val="clear" w:color="auto" w:fill="auto"/>
            <w:vAlign w:val="center"/>
          </w:tcPr>
          <w:p w14:paraId="225BDC8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kern w:val="2"/>
                <w:sz w:val="22"/>
                <w:szCs w:val="22"/>
                <w:u w:val="none"/>
              </w:rPr>
            </w:pPr>
          </w:p>
        </w:tc>
      </w:tr>
      <w:tr w14:paraId="67408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376" w:type="pct"/>
            <w:shd w:val="clear" w:color="auto" w:fill="auto"/>
            <w:noWrap/>
            <w:vAlign w:val="center"/>
          </w:tcPr>
          <w:p w14:paraId="04A040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655" w:type="pct"/>
            <w:shd w:val="clear" w:color="auto" w:fill="auto"/>
            <w:noWrap/>
            <w:vAlign w:val="center"/>
          </w:tcPr>
          <w:p w14:paraId="43A85B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　</w:t>
            </w:r>
          </w:p>
        </w:tc>
        <w:tc>
          <w:tcPr>
            <w:tcW w:w="620" w:type="pct"/>
            <w:shd w:val="clear" w:color="auto" w:fill="auto"/>
            <w:noWrap/>
            <w:vAlign w:val="center"/>
          </w:tcPr>
          <w:p w14:paraId="4380E9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24交换机</w:t>
            </w:r>
          </w:p>
        </w:tc>
        <w:tc>
          <w:tcPr>
            <w:tcW w:w="2356" w:type="pct"/>
            <w:shd w:val="clear" w:color="auto" w:fill="auto"/>
            <w:vAlign w:val="center"/>
          </w:tcPr>
          <w:p w14:paraId="21DC19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详见“主要设备技术参数要求”</w:t>
            </w:r>
          </w:p>
        </w:tc>
        <w:tc>
          <w:tcPr>
            <w:tcW w:w="764" w:type="pct"/>
            <w:shd w:val="clear" w:color="auto" w:fill="auto"/>
            <w:vAlign w:val="center"/>
          </w:tcPr>
          <w:p w14:paraId="6E93DB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226" w:type="pct"/>
            <w:shd w:val="clear" w:color="auto" w:fill="auto"/>
            <w:vAlign w:val="center"/>
          </w:tcPr>
          <w:p w14:paraId="745288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台</w:t>
            </w:r>
          </w:p>
        </w:tc>
      </w:tr>
    </w:tbl>
    <w:p w14:paraId="47A62B6B">
      <w:pPr>
        <w:keepNext/>
        <w:keepLines/>
        <w:pageBreakBefore w:val="0"/>
        <w:widowControl/>
        <w:kinsoku/>
        <w:wordWrap/>
        <w:overflowPunct/>
        <w:topLinePunct w:val="0"/>
        <w:autoSpaceDE/>
        <w:autoSpaceDN/>
        <w:bidi w:val="0"/>
        <w:adjustRightInd/>
        <w:spacing w:line="440" w:lineRule="exact"/>
        <w:jc w:val="left"/>
        <w:textAlignment w:val="auto"/>
        <w:outlineLvl w:val="2"/>
        <w:rPr>
          <w:rFonts w:hint="eastAsia" w:ascii="宋体" w:hAnsi="宋体" w:eastAsia="宋体" w:cs="宋体"/>
          <w:b/>
          <w:bCs/>
          <w:color w:val="auto"/>
          <w:kern w:val="2"/>
          <w:sz w:val="24"/>
          <w:szCs w:val="24"/>
          <w:lang w:val="en-US" w:eastAsia="zh-CN" w:bidi="ar-SA"/>
        </w:rPr>
        <w:sectPr>
          <w:pgSz w:w="16838" w:h="11906" w:orient="landscape"/>
          <w:pgMar w:top="1080" w:right="1440" w:bottom="1080" w:left="1440" w:header="851" w:footer="992" w:gutter="0"/>
          <w:cols w:space="425" w:num="1"/>
          <w:docGrid w:linePitch="360" w:charSpace="0"/>
        </w:sectPr>
      </w:pPr>
      <w:bookmarkStart w:id="202" w:name="_Toc377"/>
      <w:bookmarkStart w:id="203" w:name="_Toc30292"/>
    </w:p>
    <w:p w14:paraId="15F4BF59">
      <w:pPr>
        <w:keepNext/>
        <w:keepLines/>
        <w:pageBreakBefore w:val="0"/>
        <w:widowControl/>
        <w:kinsoku/>
        <w:wordWrap/>
        <w:overflowPunct/>
        <w:topLinePunct w:val="0"/>
        <w:autoSpaceDE/>
        <w:autoSpaceDN/>
        <w:bidi w:val="0"/>
        <w:adjustRightInd/>
        <w:spacing w:line="440" w:lineRule="exact"/>
        <w:ind w:firstLine="482" w:firstLineChars="200"/>
        <w:jc w:val="left"/>
        <w:textAlignment w:val="auto"/>
        <w:outlineLvl w:val="2"/>
        <w:rPr>
          <w:rFonts w:hint="eastAsia" w:ascii="宋体" w:hAnsi="宋体" w:eastAsia="宋体" w:cs="宋体"/>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 xml:space="preserve">3.5  </w:t>
      </w:r>
      <w:bookmarkEnd w:id="202"/>
      <w:r>
        <w:rPr>
          <w:rFonts w:hint="eastAsia" w:ascii="宋体" w:hAnsi="宋体" w:eastAsia="宋体" w:cs="宋体"/>
          <w:b/>
          <w:bCs/>
          <w:color w:val="auto"/>
          <w:kern w:val="2"/>
          <w:sz w:val="24"/>
          <w:szCs w:val="24"/>
          <w:lang w:val="en-US" w:eastAsia="zh-CN" w:bidi="ar-SA"/>
        </w:rPr>
        <w:t>设备参数</w:t>
      </w:r>
      <w:bookmarkEnd w:id="203"/>
    </w:p>
    <w:p w14:paraId="30574895">
      <w:pPr>
        <w:keepNext/>
        <w:pageBreakBefore w:val="0"/>
        <w:widowControl w:val="0"/>
        <w:kinsoku/>
        <w:wordWrap/>
        <w:overflowPunct/>
        <w:topLinePunct w:val="0"/>
        <w:autoSpaceDE/>
        <w:autoSpaceDN/>
        <w:bidi w:val="0"/>
        <w:adjustRightInd/>
        <w:snapToGrid w:val="0"/>
        <w:spacing w:line="440" w:lineRule="exact"/>
        <w:ind w:firstLine="482" w:firstLineChars="200"/>
        <w:jc w:val="left"/>
        <w:textAlignment w:val="auto"/>
        <w:outlineLvl w:val="3"/>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3.5.1信号机</w:t>
      </w:r>
    </w:p>
    <w:p w14:paraId="6EAF65C8">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★能够无缝接入大丰区交警大队现有信号控制系统平台。（投标人提供对接平台承诺函，格式自拟）</w:t>
      </w:r>
    </w:p>
    <w:p w14:paraId="59E09C5F">
      <w:pPr>
        <w:pStyle w:val="13"/>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▲交通信号控制机需符合《道路交通信号控制机》（GB25280-2016）国家强制标准的相应要求，且耐温等级为A级。（投标人提供承诺函加盖投标人公章，格式自拟）</w:t>
      </w:r>
    </w:p>
    <w:p w14:paraId="18DBC5F3">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▲信号机与上位机间的通讯协议符合《GB/T20999-2017交通信号控制机与上位机间的数据通信协议》标准要求，符合度达到100%。（投标人提供承诺函加盖投标人公章，格式自拟）</w:t>
      </w:r>
    </w:p>
    <w:p w14:paraId="4245C229">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信号机采用嵌入式架构设计，为集中协调式联网信号机，模块化程度高，可积木式扩展；操作系统采用嵌入式 Linux系统，稳定可靠；采用工业级触摸屏显示界面，可实现全图形化操作；</w:t>
      </w:r>
    </w:p>
    <w:p w14:paraId="0936724B">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信号机组成要求</w:t>
      </w:r>
    </w:p>
    <w:p w14:paraId="08CB6118">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信号机需主要由外箱机柜、4U控制插箱（含工业级触摸屏操作面板）、接线端子、手动面板、配电开关、黄闪控制器等组成。整机全模块化（插件单元）设计，使系统的硬件配置可大可小，而且机器的维修被简化为功能模块的现场快速代换。</w:t>
      </w:r>
    </w:p>
    <w:p w14:paraId="7D5891E2">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机柜箱体材质为钢板。内机箱需采用铝合金材料，表面防锈蚀氧化拉丝处理，外机柜采用高强度钢板，表面喷塑处理，完全适合全天候的户外运行。全封闭增强型机箱设计，有防雨、防潮、防尘、防震能力。机柜内部采用机架式安装方式，机柜箱门具有存放A4版面资料的存储盒，机柜与箱门接合处具有导水槽。机柜采用前后双开门，柜门采用内嵌式结构，具有防撬功能。</w:t>
      </w:r>
    </w:p>
    <w:p w14:paraId="49E185D5">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信号机主要功能要求</w:t>
      </w:r>
    </w:p>
    <w:p w14:paraId="25FDACD7">
      <w:pPr>
        <w:pageBreakBefore w:val="0"/>
        <w:numPr>
          <w:ilvl w:val="0"/>
          <w:numId w:val="1"/>
        </w:numPr>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多种控制功能</w:t>
      </w:r>
    </w:p>
    <w:p w14:paraId="33D64E67">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要求信号机具备多种控制功能，包括：多时段控制功能、单点自适应功能、全感应和半感应控制功能、手动控制、行人过街触发功能、公交车辆优先控制功能、车载特勤控制功能、绿波协调控制功能、线协调控制功能、区域协调控制功能等。</w:t>
      </w:r>
    </w:p>
    <w:p w14:paraId="7A03A887">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要求信号控制实行平滑过渡策略，可半程显示倒计时器、可设置无跳变，可以保证系统通讯通、断、工作方式切换时，交叉口信号平滑过渡，保证倒计时显示器准确显示（每秒一次）而不跳相位。</w:t>
      </w:r>
    </w:p>
    <w:p w14:paraId="079D87A4">
      <w:pPr>
        <w:pageBreakBefore w:val="0"/>
        <w:numPr>
          <w:ilvl w:val="0"/>
          <w:numId w:val="1"/>
        </w:numPr>
        <w:tabs>
          <w:tab w:val="left" w:pos="0"/>
        </w:tabs>
        <w:kinsoku/>
        <w:wordWrap/>
        <w:overflowPunct/>
        <w:topLinePunct w:val="0"/>
        <w:autoSpaceDE/>
        <w:autoSpaceDN/>
        <w:bidi w:val="0"/>
        <w:adjustRightInd/>
        <w:spacing w:line="440" w:lineRule="exact"/>
        <w:ind w:left="0" w:leftChars="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交通流信息采集功能</w:t>
      </w:r>
    </w:p>
    <w:p w14:paraId="35723C97">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可以与开关量、RS232串行通讯方式作为输出的车辆检测器接口，完成交通流信息采集功能；</w:t>
      </w:r>
    </w:p>
    <w:p w14:paraId="089C9446">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可自定义采集间隔，数据可以在本地保存，及向上传入中心数据库。</w:t>
      </w:r>
    </w:p>
    <w:p w14:paraId="4EC49D3C">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系统控制参数的设定、修改和查询</w:t>
      </w:r>
    </w:p>
    <w:p w14:paraId="033BAC8A">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系统数据包括：时基调度表、时段表、方案表、阶段表、相位表、通道表、公共参数等等。可对各种系统参数进行设定、修改和查询。并同时完成操作正确性检查和数据正确性检查。</w:t>
      </w:r>
    </w:p>
    <w:p w14:paraId="02E644C3">
      <w:pPr>
        <w:pageBreakBefore w:val="0"/>
        <w:numPr>
          <w:ilvl w:val="0"/>
          <w:numId w:val="1"/>
        </w:numPr>
        <w:tabs>
          <w:tab w:val="left" w:pos="0"/>
        </w:tabs>
        <w:kinsoku/>
        <w:wordWrap/>
        <w:overflowPunct/>
        <w:topLinePunct w:val="0"/>
        <w:autoSpaceDE/>
        <w:autoSpaceDN/>
        <w:bidi w:val="0"/>
        <w:adjustRightInd/>
        <w:spacing w:line="440" w:lineRule="exact"/>
        <w:ind w:left="0" w:leftChars="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人机对话功能</w:t>
      </w:r>
    </w:p>
    <w:p w14:paraId="630C1714">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可通过前面板的工业级触摸屏或笔记本电脑（或手机、平板电脑等）设置和查询方案，提供全中文操作人机界面，实现信号机的参数设定与查询，提供全中文操作人机界面，实现信号机的参数设定与查询。</w:t>
      </w:r>
    </w:p>
    <w:p w14:paraId="43A11F41">
      <w:pPr>
        <w:pageBreakBefore w:val="0"/>
        <w:numPr>
          <w:ilvl w:val="0"/>
          <w:numId w:val="1"/>
        </w:numPr>
        <w:tabs>
          <w:tab w:val="left" w:pos="0"/>
        </w:tabs>
        <w:kinsoku/>
        <w:wordWrap/>
        <w:overflowPunct/>
        <w:topLinePunct w:val="0"/>
        <w:autoSpaceDE/>
        <w:autoSpaceDN/>
        <w:bidi w:val="0"/>
        <w:adjustRightInd/>
        <w:spacing w:line="440" w:lineRule="exact"/>
        <w:ind w:left="0" w:leftChars="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完善的故障检测功能</w:t>
      </w:r>
    </w:p>
    <w:p w14:paraId="753F25A7">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具有绿冲突故障检测，信号灯组所有红灯熄灭故障检测，信号灯工作电压、工信电流检测，通讯故障检测等功能。</w:t>
      </w:r>
    </w:p>
    <w:p w14:paraId="749DBD8A">
      <w:pPr>
        <w:pageBreakBefore w:val="0"/>
        <w:numPr>
          <w:ilvl w:val="0"/>
          <w:numId w:val="1"/>
        </w:numPr>
        <w:tabs>
          <w:tab w:val="left" w:pos="0"/>
        </w:tabs>
        <w:kinsoku/>
        <w:wordWrap/>
        <w:overflowPunct/>
        <w:topLinePunct w:val="0"/>
        <w:autoSpaceDE/>
        <w:autoSpaceDN/>
        <w:bidi w:val="0"/>
        <w:adjustRightInd/>
        <w:spacing w:line="440" w:lineRule="exact"/>
        <w:ind w:left="0" w:leftChars="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系统故障保护功能</w:t>
      </w:r>
    </w:p>
    <w:p w14:paraId="68B7064C">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在设定的故障条件下，或系统严重故障（如电源故障，控制主机故障，绿冲突等）时，或信号机维护保养时，信号机自动启动配套的硬件黄闪控制器以实现黄闪功能，确保路口通行安全。</w:t>
      </w:r>
    </w:p>
    <w:p w14:paraId="246356D0">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对因网络设备、网卡故障、网络环路的原因容易造成网络瘫痪，从而导致信号机运行不能正常运行，影响路口交通安全时。要求信号机具备在网络瘫痪的情况下正常运行，不黄闪的功能。</w:t>
      </w:r>
    </w:p>
    <w:p w14:paraId="3D0116C9">
      <w:pPr>
        <w:pageBreakBefore w:val="0"/>
        <w:numPr>
          <w:ilvl w:val="0"/>
          <w:numId w:val="1"/>
        </w:numPr>
        <w:tabs>
          <w:tab w:val="left" w:pos="0"/>
        </w:tabs>
        <w:kinsoku/>
        <w:wordWrap/>
        <w:overflowPunct/>
        <w:topLinePunct w:val="0"/>
        <w:autoSpaceDE/>
        <w:autoSpaceDN/>
        <w:bidi w:val="0"/>
        <w:adjustRightInd/>
        <w:spacing w:line="440" w:lineRule="exact"/>
        <w:ind w:left="0" w:leftChars="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过电压保护</w:t>
      </w:r>
    </w:p>
    <w:p w14:paraId="700CD8C4">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灯具驱动输出具备过载、短路、电压电流快速上升保护功能。在供电电压超过AC280V时，系统自动断电保护。</w:t>
      </w:r>
    </w:p>
    <w:p w14:paraId="4975A186">
      <w:pPr>
        <w:pageBreakBefore w:val="0"/>
        <w:numPr>
          <w:ilvl w:val="0"/>
          <w:numId w:val="1"/>
        </w:numPr>
        <w:tabs>
          <w:tab w:val="left" w:pos="0"/>
        </w:tabs>
        <w:kinsoku/>
        <w:wordWrap/>
        <w:overflowPunct/>
        <w:topLinePunct w:val="0"/>
        <w:autoSpaceDE/>
        <w:autoSpaceDN/>
        <w:bidi w:val="0"/>
        <w:adjustRightInd/>
        <w:spacing w:line="440" w:lineRule="exact"/>
        <w:ind w:left="0" w:leftChars="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数据本地存储</w:t>
      </w:r>
    </w:p>
    <w:p w14:paraId="5DF4B538">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信号机本地储存1个月以上的交通数据，具备断电情况下的数据保存功能，实现无电池供电情况下永久保存。</w:t>
      </w:r>
    </w:p>
    <w:p w14:paraId="1D4AAB92">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8.</w:t>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方案自动生成功能</w:t>
      </w:r>
    </w:p>
    <w:p w14:paraId="657555E0">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信号机具备方案自动生成功能，可在基础方案配置的基础上，根据路口检测器信息计算自动生成多时段顶周期方案，并依据流量自动规划时段，生成时段方案、周期、绿信比时间。</w:t>
      </w:r>
    </w:p>
    <w:p w14:paraId="15BC728D">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9.</w:t>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手动指定相位放行功能</w:t>
      </w:r>
    </w:p>
    <w:p w14:paraId="1703849C">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通过手动控制面板选择相应的相位编号，转换至手动指定相位。</w:t>
      </w:r>
    </w:p>
    <w:p w14:paraId="119807DD">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10.  支持宽压启动</w:t>
      </w:r>
    </w:p>
    <w:p w14:paraId="38164CDF">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信号机供电电压小于150V时，且工作一个小时后，信号机各项功能均正常。</w:t>
      </w:r>
    </w:p>
    <w:p w14:paraId="249039DF">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主要技术指标</w:t>
      </w:r>
    </w:p>
    <w:p w14:paraId="4A559FD7">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产品设计</w:t>
      </w:r>
    </w:p>
    <w:p w14:paraId="30B5CBB0">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硬件采用嵌入式架构设计，模块化程度高，可积木式扩展；</w:t>
      </w:r>
    </w:p>
    <w:p w14:paraId="43E1A157">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操作系统采用嵌入式 Linux系统，稳定可靠；</w:t>
      </w:r>
    </w:p>
    <w:p w14:paraId="758E3D0E">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采用工业级触摸屏，全图形化操作；</w:t>
      </w:r>
    </w:p>
    <w:p w14:paraId="7C22F497">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机械性能</w:t>
      </w:r>
    </w:p>
    <w:p w14:paraId="40D3341A">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外壳防护等级：IP54</w:t>
      </w:r>
    </w:p>
    <w:p w14:paraId="042ECA7F">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使用电源</w:t>
      </w:r>
    </w:p>
    <w:p w14:paraId="7A85C9B8">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电压：单相 AC220V±20% 50Hz±2Hz</w:t>
      </w:r>
    </w:p>
    <w:p w14:paraId="5A80307F">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无负载功耗：20W</w:t>
      </w:r>
    </w:p>
    <w:p w14:paraId="26048218">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输入输出接口</w:t>
      </w:r>
    </w:p>
    <w:p w14:paraId="313125DD">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信号灯输出：48路，可扩展至96路，可控硅输出,单路驱动能力AC220V/5A；</w:t>
      </w:r>
    </w:p>
    <w:p w14:paraId="748A5B9C">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车辆检测输入：标准配置可连接24个车辆检测器，可扩展至48个，支持线圈、视频、微波、地磁等车辆检测器，干触点或OC晶体管输出；</w:t>
      </w:r>
    </w:p>
    <w:p w14:paraId="08E394CD">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通讯接口：标准EIA电平RS232接口：3个，波特率：1200bps—115200 bps；RS485电平信号接口：1个，用于倒计时器通讯，通讯协议满足GA/T508-2004；可支持8路输出，自定义通讯协议时，最大可支持32路输出；固定周期时支持通讯时和学习式全程/半程显示倒计时显示器，实时自适应模式下支持半程倒计时。</w:t>
      </w:r>
    </w:p>
    <w:p w14:paraId="10368788">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网络接口：1个，10M/100M自适应；</w:t>
      </w:r>
    </w:p>
    <w:p w14:paraId="3F5D0EEF">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GPS接口：1个，可接收GPS授时（选配件）；</w:t>
      </w:r>
    </w:p>
    <w:p w14:paraId="15B1798D">
      <w:pPr>
        <w:keepNext/>
        <w:pageBreakBefore w:val="0"/>
        <w:widowControl w:val="0"/>
        <w:kinsoku/>
        <w:wordWrap/>
        <w:overflowPunct/>
        <w:topLinePunct w:val="0"/>
        <w:autoSpaceDE/>
        <w:autoSpaceDN/>
        <w:bidi w:val="0"/>
        <w:adjustRightInd/>
        <w:snapToGrid w:val="0"/>
        <w:spacing w:line="440" w:lineRule="exact"/>
        <w:ind w:firstLine="482" w:firstLineChars="200"/>
        <w:jc w:val="left"/>
        <w:textAlignment w:val="auto"/>
        <w:outlineLvl w:val="3"/>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3.5.2满屏灯</w:t>
      </w:r>
    </w:p>
    <w:p w14:paraId="33439315">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1、产品概述</w:t>
      </w:r>
    </w:p>
    <w:p w14:paraId="426E6E43">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每套信号灯由红、黄、绿三个几何单元合并组成，灯体外壳颜色为黑色，底壳、前门盖、透光片及密封圈表面平滑,无缺料、开裂、银丝、变形和毛刺等缺陷，表面有牢固的防锈、防腐蚀层。前门盖和底壳采用蝴蝶扣式连接方式，方便徒手开启和关闭。</w:t>
      </w:r>
    </w:p>
    <w:p w14:paraId="2188CDD1">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2、产品特性</w:t>
      </w:r>
    </w:p>
    <w:p w14:paraId="184C9DB9">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.灯芯尺寸：392mm，三联体</w:t>
      </w:r>
    </w:p>
    <w:p w14:paraId="4E4B9108">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.外壳材料：ABS&amp;PC合金塑料</w:t>
      </w:r>
    </w:p>
    <w:p w14:paraId="4407BD0B">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.透明玻璃面罩：高透光率，阻燃，防紫外线</w:t>
      </w:r>
    </w:p>
    <w:p w14:paraId="77EC205D">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.单灯发光强度：红灯≥697cd           </w:t>
      </w:r>
    </w:p>
    <w:p w14:paraId="38A29A07">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黄灯≥613cd        </w:t>
      </w:r>
    </w:p>
    <w:p w14:paraId="50FBDD54">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绿灯≥701cd </w:t>
      </w:r>
    </w:p>
    <w:p w14:paraId="6966B0BC">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.LED光强：红色≥6000mcd</w:t>
      </w:r>
    </w:p>
    <w:p w14:paraId="2397189B">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黄色≥6000mcd</w:t>
      </w:r>
    </w:p>
    <w:p w14:paraId="7697B2E5">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绿色≥10000mcd</w:t>
      </w:r>
    </w:p>
    <w:p w14:paraId="34B6EB0F">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.LED波长：红623±2nm；黄592±2nm；绿502±2nm</w:t>
      </w:r>
    </w:p>
    <w:p w14:paraId="68647FA1">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.单灯功率：红、黄、绿均≤14W </w:t>
      </w:r>
    </w:p>
    <w:p w14:paraId="728133E1">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.以250g±0.5g的钢球从40cm的有效高度自由跌落，落点位于处于工作状态的信号灯面罩的中央。试验后，试样面罩不得碎裂，封接处不得有开裂等缺陷。</w:t>
      </w:r>
    </w:p>
    <w:p w14:paraId="61B02A42">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夜间降光功能：以调幅或调相方式降低信号灯供电电源电压，当电压有效值不大于150V时，信号灯应能正常工作，发光单元基准轴上的发光强度应不小于150cd且不大于250cd，亮度应不小于1500cd/m2且不大于2500cd/m2。</w:t>
      </w:r>
    </w:p>
    <w:p w14:paraId="3E5218FE">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3、性能指标</w:t>
      </w:r>
    </w:p>
    <w:p w14:paraId="6E959B24">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1)工作电压：AC220V±20%</w:t>
      </w:r>
    </w:p>
    <w:p w14:paraId="7C6DB03B">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2）工作频率：50Hz±2Hz</w:t>
      </w:r>
    </w:p>
    <w:p w14:paraId="170EC6E4">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3）功率因数：≥0.91</w:t>
      </w:r>
    </w:p>
    <w:p w14:paraId="2CF0CB42">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4）启动瞬间电流：≤1.2A</w:t>
      </w:r>
    </w:p>
    <w:p w14:paraId="2CB25FD2">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5）启动响应时间：＜10ms</w:t>
      </w:r>
    </w:p>
    <w:p w14:paraId="5212C1A5">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6）关闭响应时间：＜85ms</w:t>
      </w:r>
    </w:p>
    <w:p w14:paraId="349BC649">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7）绝缘电阻：≥500MΩ</w:t>
      </w:r>
    </w:p>
    <w:p w14:paraId="5712B536">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8)介电强度：耐压1440VAC</w:t>
      </w:r>
    </w:p>
    <w:p w14:paraId="03BEB888">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9)泄露电流：≤0.059mA</w:t>
      </w:r>
    </w:p>
    <w:p w14:paraId="46B9D9B3">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10)接地电阻：≤0.1Ω</w:t>
      </w:r>
    </w:p>
    <w:p w14:paraId="62E18CE1">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11)电源类型：恒压电源</w:t>
      </w:r>
    </w:p>
    <w:p w14:paraId="01E68050">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12)LED电路形式：恒流驱动，单颗LED最大电流＜18mA</w:t>
      </w:r>
    </w:p>
    <w:p w14:paraId="02D5381C">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13)工作温度：-40℃～+80℃</w:t>
      </w:r>
    </w:p>
    <w:p w14:paraId="48D642BF">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14)湿热性能：温度为40℃时，空气相对湿度≤95％±2％</w:t>
      </w:r>
    </w:p>
    <w:p w14:paraId="5ECB692E">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15）外壳防护等级：IP55</w:t>
      </w:r>
    </w:p>
    <w:p w14:paraId="3C8EED11">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16）整灯寿命：超过10年</w:t>
      </w:r>
    </w:p>
    <w:p w14:paraId="52297978">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17）抗振动、抗风压：＞145km/h</w:t>
      </w:r>
    </w:p>
    <w:p w14:paraId="3FA424B1">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bidi="ar-SA"/>
        </w:rPr>
        <w:t>18).执行标准：GB 14887-2011《道路交通信号灯》</w:t>
      </w:r>
    </w:p>
    <w:p w14:paraId="5DD79A1B">
      <w:pPr>
        <w:keepNext/>
        <w:pageBreakBefore w:val="0"/>
        <w:widowControl w:val="0"/>
        <w:kinsoku/>
        <w:wordWrap/>
        <w:overflowPunct/>
        <w:topLinePunct w:val="0"/>
        <w:autoSpaceDE/>
        <w:autoSpaceDN/>
        <w:bidi w:val="0"/>
        <w:adjustRightInd/>
        <w:snapToGrid w:val="0"/>
        <w:spacing w:line="440" w:lineRule="exact"/>
        <w:ind w:firstLine="482" w:firstLineChars="200"/>
        <w:jc w:val="left"/>
        <w:textAlignment w:val="auto"/>
        <w:outlineLvl w:val="3"/>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3.5.3箭头灯</w:t>
      </w:r>
    </w:p>
    <w:p w14:paraId="4874A7AC">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1、产品概述</w:t>
      </w:r>
    </w:p>
    <w:p w14:paraId="3E515BCF">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每套信号灯由红、黄、绿三个几何单元合并组成，灯体外壳颜色为黑色，底壳、前门盖、透光片及密封圈表面平滑,无缺料、开裂、银丝、变形和毛刺等缺陷，表面有牢固的防锈、防腐蚀层。前门盖和底壳采用蝴蝶扣式连接方式，方便徒手开启和关闭。</w:t>
      </w:r>
    </w:p>
    <w:p w14:paraId="523BE45F">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2、产品特性</w:t>
      </w:r>
    </w:p>
    <w:p w14:paraId="5EB4F7FC">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.灯芯尺寸：392mm，三联体 </w:t>
      </w:r>
    </w:p>
    <w:p w14:paraId="5F9A78D4">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.外壳材料：ABS&amp;PC合金塑料</w:t>
      </w:r>
    </w:p>
    <w:p w14:paraId="441A47A3">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.透明玻璃面罩：高透光率，阻燃，防紫外线</w:t>
      </w:r>
    </w:p>
    <w:p w14:paraId="3F3B2443">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.LED数量：红色LED:88颗；黄色LED:88颗；绿色LED：88颗</w:t>
      </w:r>
    </w:p>
    <w:p w14:paraId="5AEAF555">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.单灯亮度：红灯≥13115cd/㎡            </w:t>
      </w:r>
    </w:p>
    <w:p w14:paraId="02D2934D">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黄灯≥10709cd/㎡        </w:t>
      </w:r>
    </w:p>
    <w:p w14:paraId="6369A725">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绿灯≥13450cd/㎡   </w:t>
      </w:r>
    </w:p>
    <w:p w14:paraId="673E1CCB">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.LED光强：红色≥6000mcd</w:t>
      </w:r>
    </w:p>
    <w:p w14:paraId="54E38D3C">
      <w:pPr>
        <w:pageBreakBefore w:val="0"/>
        <w:kinsoku/>
        <w:wordWrap/>
        <w:overflowPunct/>
        <w:topLinePunct w:val="0"/>
        <w:autoSpaceDE/>
        <w:autoSpaceDN/>
        <w:bidi w:val="0"/>
        <w:adjustRightInd/>
        <w:spacing w:line="440" w:lineRule="exact"/>
        <w:ind w:firstLine="1920" w:firstLineChars="8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黄色≥6000mcd</w:t>
      </w:r>
    </w:p>
    <w:p w14:paraId="38AE0972">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绿色≥10000mcd</w:t>
      </w:r>
    </w:p>
    <w:p w14:paraId="07AD1B4E">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.LED波长：红623±2nm；黄592±2nm；绿502±2nm</w:t>
      </w:r>
    </w:p>
    <w:p w14:paraId="16FD3E5A">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.单灯功率：红、黄、绿均≤11W </w:t>
      </w:r>
    </w:p>
    <w:p w14:paraId="0C4DD352">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.以250g±0.5g的钢球从40cm的有效高度自由跌落，落点位于处于工作状态的信号灯面罩的中央。试验后，试样面罩不得碎裂，封接处不得有开裂等缺陷。</w:t>
      </w:r>
    </w:p>
    <w:p w14:paraId="20B0B55A">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夜间降光功能：以调幅或调相方式降低信号灯供电电源电压，在100V-150V电压有效值范围内，信号灯应能正常工作，发光单元基准轴上的发光强度应不小于1500cd/㎡且不大于2500cd/㎡</w:t>
      </w:r>
    </w:p>
    <w:p w14:paraId="3629F8E4">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3、性能指标</w:t>
      </w:r>
    </w:p>
    <w:p w14:paraId="033E0957">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1).工作电压：AC220V±20%</w:t>
      </w:r>
    </w:p>
    <w:p w14:paraId="7DF8FF28">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2).工作频率：50Hz±2Hz</w:t>
      </w:r>
    </w:p>
    <w:p w14:paraId="54619659">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3).功率因数：≥0.91</w:t>
      </w:r>
    </w:p>
    <w:p w14:paraId="3ED1A5A1">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4).启动瞬间电流：≤1.1A</w:t>
      </w:r>
    </w:p>
    <w:p w14:paraId="0BCBEE67">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5).启动响应时间：＜20ms</w:t>
      </w:r>
    </w:p>
    <w:p w14:paraId="2985A1E3">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6).关闭响应时间：＜75ms</w:t>
      </w:r>
    </w:p>
    <w:p w14:paraId="06A04B59">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7).绝缘电阻：≥500MΩ</w:t>
      </w:r>
    </w:p>
    <w:p w14:paraId="4E774C8E">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8).介电强度：耐压1440VAC</w:t>
      </w:r>
    </w:p>
    <w:p w14:paraId="51C0B867">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9）.泄露电流：≤0.057mA</w:t>
      </w:r>
    </w:p>
    <w:p w14:paraId="696F38EF">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10）.接地电阻：≤0.1Ω</w:t>
      </w:r>
    </w:p>
    <w:p w14:paraId="6AE809C7">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11).电源类型：恒压电源</w:t>
      </w:r>
    </w:p>
    <w:p w14:paraId="62CC1924">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12).LED电路形式：恒流驱动，单颗LED最大电流＜18mA</w:t>
      </w:r>
    </w:p>
    <w:p w14:paraId="4AED720A">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13).工作温度：-40℃～+80℃</w:t>
      </w:r>
    </w:p>
    <w:p w14:paraId="123CBC0F">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14).湿热性能：温度为40℃时，空气相对湿度≤95％±2％</w:t>
      </w:r>
    </w:p>
    <w:p w14:paraId="3F07376F">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15).外壳防护等级：IP55</w:t>
      </w:r>
    </w:p>
    <w:p w14:paraId="12E668B5">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16).整灯寿命：超过10年</w:t>
      </w:r>
    </w:p>
    <w:p w14:paraId="2C4B90E4">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17).抗振动、抗风压：＞145km/h</w:t>
      </w:r>
    </w:p>
    <w:p w14:paraId="112C910D">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bidi="ar-SA"/>
        </w:rPr>
        <w:t>18).执行标准：GB 14887-2011《道路交通信号灯》</w:t>
      </w:r>
    </w:p>
    <w:p w14:paraId="1AF7BC0A">
      <w:pPr>
        <w:keepNext/>
        <w:pageBreakBefore w:val="0"/>
        <w:widowControl w:val="0"/>
        <w:kinsoku/>
        <w:wordWrap/>
        <w:overflowPunct/>
        <w:topLinePunct w:val="0"/>
        <w:autoSpaceDE/>
        <w:autoSpaceDN/>
        <w:bidi w:val="0"/>
        <w:adjustRightInd/>
        <w:snapToGrid w:val="0"/>
        <w:spacing w:line="440" w:lineRule="exact"/>
        <w:ind w:firstLine="482" w:firstLineChars="200"/>
        <w:jc w:val="left"/>
        <w:textAlignment w:val="auto"/>
        <w:outlineLvl w:val="3"/>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3.5.4倒计时</w:t>
      </w:r>
    </w:p>
    <w:p w14:paraId="1085D0BB">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倒计时显示器是按照行业标准GA/T 508-2014 道路交通信号倒计时显示器的要求，应用自主研发、具有完全知识产权的发光组件技术，结合倒计时显示器的外壳实际使用要求实施开发并取得成功的新款道路交通信号倒计时显示器产品。该倒计时显示器外壳采用ABS&amp;PC合金塑料材料制作，内、外表面光洁、平整，无凹痕、划伤、裂缝、变形和毛刺等缺陷，转动部件活动灵活，紧固部件紧固。</w:t>
      </w:r>
      <w:r>
        <w:rPr>
          <w:rFonts w:hint="eastAsia" w:ascii="宋体" w:hAnsi="宋体" w:eastAsia="宋体" w:cs="宋体"/>
          <w:color w:val="auto"/>
          <w:kern w:val="2"/>
          <w:sz w:val="24"/>
          <w:szCs w:val="24"/>
          <w:lang w:val="en-US" w:eastAsia="zh-CN" w:bidi="ar-SA"/>
        </w:rPr>
        <w:br w:type="textWrapping"/>
      </w:r>
      <w:r>
        <w:rPr>
          <w:rFonts w:hint="eastAsia" w:ascii="宋体" w:hAnsi="宋体" w:eastAsia="宋体" w:cs="宋体"/>
          <w:color w:val="auto"/>
          <w:kern w:val="2"/>
          <w:sz w:val="24"/>
          <w:szCs w:val="24"/>
          <w:lang w:val="en-US" w:eastAsia="zh-CN" w:bidi="ar-SA"/>
        </w:rPr>
        <w:t xml:space="preserve">    显示单元与倒计时器箱体连接紧密，无松动。显示单元由防水底壳、PC透光罩、橡皮圈、LED发光面板、控制板、开关电源、密封条等组成，单元密封性好，密封表面平整。</w:t>
      </w:r>
      <w:r>
        <w:rPr>
          <w:rFonts w:hint="eastAsia" w:ascii="宋体" w:hAnsi="宋体" w:eastAsia="宋体" w:cs="宋体"/>
          <w:color w:val="auto"/>
          <w:kern w:val="2"/>
          <w:sz w:val="24"/>
          <w:szCs w:val="24"/>
          <w:lang w:val="en-US" w:eastAsia="zh-CN" w:bidi="ar-SA"/>
        </w:rPr>
        <w:br w:type="textWrapping"/>
      </w:r>
      <w:r>
        <w:rPr>
          <w:rFonts w:hint="eastAsia" w:ascii="宋体" w:hAnsi="宋体" w:eastAsia="宋体" w:cs="宋体"/>
          <w:color w:val="auto"/>
          <w:kern w:val="2"/>
          <w:sz w:val="24"/>
          <w:szCs w:val="24"/>
          <w:lang w:val="en-US" w:eastAsia="zh-CN" w:bidi="ar-SA"/>
        </w:rPr>
        <w:t xml:space="preserve">    较传统笔画段式倒计时显示器，单元式倒计时显示器密封性好，防水效果好，结构简单，笔画段和控制板之间连接点少，故障点少，便于维护。</w:t>
      </w:r>
    </w:p>
    <w:p w14:paraId="648F7E0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二、性能指标</w:t>
      </w:r>
    </w:p>
    <w:p w14:paraId="7ED3618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输入电压 : 176～264VAC</w:t>
      </w:r>
    </w:p>
    <w:p w14:paraId="31B5D2A4">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电源频率 : 48～52Hz</w:t>
      </w:r>
    </w:p>
    <w:p w14:paraId="5C4BA4A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发光亮度：红色≥10172cd/㎡，黄色≥8270cd/㎡，绿色≥11447cd/㎡</w:t>
      </w:r>
    </w:p>
    <w:p w14:paraId="5A088CF8">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色度：符合GA/T 508-2014 道路交通信号倒计时显示器</w:t>
      </w:r>
    </w:p>
    <w:p w14:paraId="50FD7D5C">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光源寿命：≥10万小时</w:t>
      </w:r>
    </w:p>
    <w:p w14:paraId="7D9FCC31">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可视角度：≥30度</w:t>
      </w:r>
    </w:p>
    <w:p w14:paraId="52C99C78">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可视距离：≥ 400m</w:t>
      </w:r>
    </w:p>
    <w:p w14:paraId="06B3AC50">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外壳防护等级：IP55</w:t>
      </w:r>
    </w:p>
    <w:p w14:paraId="395F31E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耐温：-40℃～+80℃</w:t>
      </w:r>
    </w:p>
    <w:p w14:paraId="1FFCC1FF">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湿热性能：温度为40℃时，空气相对湿度≤95%±2％</w:t>
      </w:r>
    </w:p>
    <w:p w14:paraId="65F303E4">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绝缘电阻：≥500MΩ</w:t>
      </w:r>
    </w:p>
    <w:p w14:paraId="5088B36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抗振动：符合GA/T 508-2015 道路交通信号倒计时显示器</w:t>
      </w:r>
    </w:p>
    <w:p w14:paraId="12EED240">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支持半程触发、学习式和通讯三种工作方式，可自主切换，其中通讯式倒计时器的通讯协议同时支持GA/T508-2014《道路交通信号倒计时显示器》和GA/T508-2004《道路交通信号倒计时显示器》的附录A。</w:t>
      </w:r>
    </w:p>
    <w:p w14:paraId="6E045855">
      <w:pPr>
        <w:keepNext/>
        <w:pageBreakBefore w:val="0"/>
        <w:widowControl w:val="0"/>
        <w:kinsoku/>
        <w:wordWrap/>
        <w:overflowPunct/>
        <w:topLinePunct w:val="0"/>
        <w:autoSpaceDE/>
        <w:autoSpaceDN/>
        <w:bidi w:val="0"/>
        <w:adjustRightInd/>
        <w:snapToGrid w:val="0"/>
        <w:spacing w:line="440" w:lineRule="exact"/>
        <w:ind w:firstLine="482" w:firstLineChars="200"/>
        <w:jc w:val="left"/>
        <w:textAlignment w:val="auto"/>
        <w:outlineLvl w:val="3"/>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3.5.5人行灯</w:t>
      </w:r>
    </w:p>
    <w:p w14:paraId="53F3C51A">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1、产品概述</w:t>
      </w:r>
    </w:p>
    <w:p w14:paraId="26D67DF3">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每套信号灯由静态红色人、静态绿色人两个几何单元合并组成，灯体外壳颜色为黑色，底壳、前门盖、透光片及密封圈表面平滑,无缺料、开裂、银丝、变形和毛刺等缺陷，表面有牢固的防锈、防腐蚀层。前门盖和底壳采用蝴蝶扣式连接方式，方便徒手开启和关闭。产品通过公安部交通安全产品质量监督检验中心检测，符合中华人民共和国GB 14887-2011标准，供货时出具有效期内的检测报告。</w:t>
      </w:r>
    </w:p>
    <w:p w14:paraId="47A3AFB3">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2、产品特性</w:t>
      </w:r>
    </w:p>
    <w:p w14:paraId="27150CE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1）.灯芯尺寸：300mm，两联体</w:t>
      </w:r>
    </w:p>
    <w:p w14:paraId="6787F10C">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2）.外壳材料：铝镁合金/ABS合金塑料</w:t>
      </w:r>
    </w:p>
    <w:p w14:paraId="0445DF84">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3）.透明玻璃面罩：高透光率，阻燃，防紫外线</w:t>
      </w:r>
    </w:p>
    <w:p w14:paraId="5BA0246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4）.单灯发光强度：红灯≥280cd                  </w:t>
      </w:r>
      <w:r>
        <w:rPr>
          <w:rFonts w:hint="eastAsia" w:ascii="宋体" w:hAnsi="宋体" w:eastAsia="宋体" w:cs="宋体"/>
          <w:color w:val="auto"/>
          <w:kern w:val="2"/>
          <w:sz w:val="24"/>
          <w:szCs w:val="24"/>
          <w:lang w:val="en-US" w:eastAsia="zh-CN" w:bidi="ar-SA"/>
        </w:rPr>
        <w:br w:type="textWrapping"/>
      </w:r>
      <w:r>
        <w:rPr>
          <w:rFonts w:hint="eastAsia" w:ascii="宋体" w:hAnsi="宋体" w:eastAsia="宋体" w:cs="宋体"/>
          <w:color w:val="auto"/>
          <w:kern w:val="2"/>
          <w:sz w:val="24"/>
          <w:szCs w:val="24"/>
          <w:lang w:val="en-US" w:eastAsia="zh-CN" w:bidi="ar-SA"/>
        </w:rPr>
        <w:t xml:space="preserve">                      绿灯≥314cd </w:t>
      </w:r>
    </w:p>
    <w:p w14:paraId="717237E8">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5）.LED光强：红色≥6000mcd</w:t>
      </w:r>
      <w:r>
        <w:rPr>
          <w:rFonts w:hint="eastAsia" w:ascii="宋体" w:hAnsi="宋体" w:eastAsia="宋体" w:cs="宋体"/>
          <w:color w:val="auto"/>
          <w:kern w:val="2"/>
          <w:sz w:val="24"/>
          <w:szCs w:val="24"/>
          <w:lang w:val="en-US" w:eastAsia="zh-CN" w:bidi="ar-SA"/>
        </w:rPr>
        <w:br w:type="textWrapping"/>
      </w:r>
      <w:r>
        <w:rPr>
          <w:rFonts w:hint="eastAsia" w:ascii="宋体" w:hAnsi="宋体" w:eastAsia="宋体" w:cs="宋体"/>
          <w:color w:val="auto"/>
          <w:kern w:val="2"/>
          <w:sz w:val="24"/>
          <w:szCs w:val="24"/>
          <w:lang w:val="en-US" w:eastAsia="zh-CN" w:bidi="ar-SA"/>
        </w:rPr>
        <w:t xml:space="preserve">                  绿色≥10000mcd</w:t>
      </w:r>
    </w:p>
    <w:p w14:paraId="297CAF2B">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6）.LED波长：红623±2nm；绿502±2nm</w:t>
      </w:r>
    </w:p>
    <w:p w14:paraId="389F3F59">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7）.单灯功率：红、绿均≤9W</w:t>
      </w:r>
    </w:p>
    <w:p w14:paraId="22DBBB4B">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8）.以250g±0.5g的钢球从40cm的有效高度自由跌落，落点位于处于工作状态的信号灯面罩的中央。试验后，试样面罩不得碎裂，封接处不得有开裂等缺陷。</w:t>
      </w:r>
    </w:p>
    <w:p w14:paraId="28AC9AA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3、性能指标</w:t>
      </w:r>
    </w:p>
    <w:p w14:paraId="2B12E009">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1）.工作电压：AC220V±20%</w:t>
      </w:r>
    </w:p>
    <w:p w14:paraId="38819B94">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2）.工作频率：50Hz±2Hz</w:t>
      </w:r>
    </w:p>
    <w:p w14:paraId="48DE5890">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3）.功率因数：≥0.9</w:t>
      </w:r>
    </w:p>
    <w:p w14:paraId="74442CB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4）.启动瞬间电流：≤1.2A</w:t>
      </w:r>
    </w:p>
    <w:p w14:paraId="4B6B67F3">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5）.启动响应时间：＜5ms</w:t>
      </w:r>
    </w:p>
    <w:p w14:paraId="5957051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6）.关闭响应时间：＜75ms</w:t>
      </w:r>
    </w:p>
    <w:p w14:paraId="61973354">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7）.绝缘电阻：≥500MΩ</w:t>
      </w:r>
    </w:p>
    <w:p w14:paraId="2E84C8EA">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8）.介电强度：耐压1440VAC</w:t>
      </w:r>
    </w:p>
    <w:p w14:paraId="3522260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9）.泄露电流：≤0.05mA</w:t>
      </w:r>
    </w:p>
    <w:p w14:paraId="53530531">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10）.接地电阻：≤0.1Ω</w:t>
      </w:r>
    </w:p>
    <w:p w14:paraId="28C7D70B">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11）.电源类型：恒压电源</w:t>
      </w:r>
    </w:p>
    <w:p w14:paraId="28CBF678">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12）.LED电路形式：恒流驱动，单颗LED最大电流＜18mA</w:t>
      </w:r>
    </w:p>
    <w:p w14:paraId="1E3A7153">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13）.工作温度：-40℃～+80℃</w:t>
      </w:r>
    </w:p>
    <w:p w14:paraId="7DBA2CEB">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14）.湿热性能：温度为40℃时，空气相对湿度≤95％±2％</w:t>
      </w:r>
    </w:p>
    <w:p w14:paraId="1E55371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15）.外壳防护等级：IP55</w:t>
      </w:r>
    </w:p>
    <w:p w14:paraId="4687AF98">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16）.整灯寿命：超过10年</w:t>
      </w:r>
    </w:p>
    <w:p w14:paraId="7921AC4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17）.抗振动、抗风压：＞145km/h</w:t>
      </w:r>
    </w:p>
    <w:p w14:paraId="70656D2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18）.执行标准：GB 14887-2011《道路交通信号灯》</w:t>
      </w:r>
    </w:p>
    <w:p w14:paraId="517DC508">
      <w:pPr>
        <w:keepNext/>
        <w:pageBreakBefore w:val="0"/>
        <w:widowControl w:val="0"/>
        <w:kinsoku/>
        <w:wordWrap/>
        <w:overflowPunct/>
        <w:topLinePunct w:val="0"/>
        <w:autoSpaceDE/>
        <w:autoSpaceDN/>
        <w:bidi w:val="0"/>
        <w:adjustRightInd/>
        <w:snapToGrid w:val="0"/>
        <w:spacing w:line="440" w:lineRule="exact"/>
        <w:ind w:firstLine="482" w:firstLineChars="200"/>
        <w:jc w:val="left"/>
        <w:textAlignment w:val="auto"/>
        <w:outlineLvl w:val="3"/>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3.5.6砖砌手井（含手井圈、盖）</w:t>
      </w:r>
    </w:p>
    <w:p w14:paraId="200E5A4E">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规格尺寸:500mm*500mm*500mm。</w:t>
      </w:r>
    </w:p>
    <w:p w14:paraId="61AB1F07">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盖板材质、规格:预制钢筋砼盖板。</w:t>
      </w:r>
    </w:p>
    <w:p w14:paraId="65F05F9E">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bidi="ar-SA"/>
        </w:rPr>
        <w:t>井盖上印有“公安专用”标志。</w:t>
      </w:r>
    </w:p>
    <w:p w14:paraId="2438D979">
      <w:pPr>
        <w:keepNext/>
        <w:pageBreakBefore w:val="0"/>
        <w:widowControl w:val="0"/>
        <w:kinsoku/>
        <w:wordWrap/>
        <w:overflowPunct/>
        <w:topLinePunct w:val="0"/>
        <w:autoSpaceDE/>
        <w:autoSpaceDN/>
        <w:bidi w:val="0"/>
        <w:adjustRightInd/>
        <w:snapToGrid w:val="0"/>
        <w:spacing w:line="440" w:lineRule="exact"/>
        <w:ind w:firstLine="482" w:firstLineChars="200"/>
        <w:jc w:val="left"/>
        <w:textAlignment w:val="auto"/>
        <w:outlineLvl w:val="3"/>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3.5.7 900万电警相机</w:t>
      </w:r>
    </w:p>
    <w:p w14:paraId="4B6E0FEF">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1、包含高清抓拍单元由摄像机、高清镜头、室外防护罩、风扇、补光灯、电源适配器、安装万向节等组成等；</w:t>
      </w:r>
    </w:p>
    <w:p w14:paraId="02E7D473">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2、内置摄像机采用1英寸高帧率全局曝光CMOS传感器；</w:t>
      </w:r>
    </w:p>
    <w:p w14:paraId="64D76DE0">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★3、最大图像尺寸≥4096×2160像素，字符叠加时最大可支持4096×2800；（提供具有CMA标识的国家权威机构检测报告原件扫描件证明并加盖投标人公章）</w:t>
      </w:r>
    </w:p>
    <w:p w14:paraId="0FB77921">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设备的镜头和两个sensor一体化设计，具有独立三角分光棱镜分光结构装置，分别接收可见光和红外光；抓拍支持输出三张同时刻同目标图片，包括可见光路图片，红外路图片和融合图片，三张图片抓拍时间为同一时刻，抓拍秒表显示为同一时刻，抓拍运动目标，三张图片中目标位置相同无位移；</w:t>
      </w:r>
    </w:p>
    <w:p w14:paraId="6A62A4B2">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5、视频压缩支持H.265、H.264、M-JPEG；</w:t>
      </w:r>
    </w:p>
    <w:p w14:paraId="6B89A6B5">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6、支持机动车、二轮车（摩托车、自行车、电动二轮车）、三轮车和行人分类检测；</w:t>
      </w:r>
    </w:p>
    <w:p w14:paraId="1722C789">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7、支持识别不少于39种车身颜色，包括白、黑、红、黄、灰、蓝、绿、粉、紫、暗紫、棕、栗色、银灰、暗灰、白烟、深橙、浅玫瑰、番茄红、橄榄、金、暗橄榄、黄绿、绿黄、森林绿、海洋绿、深天蓝、青、深蓝、深红、深绿、深黄、深粉、深紫、深棕、深青、橙、深金、粉红、其他；支持识别车身副颜色；</w:t>
      </w:r>
    </w:p>
    <w:p w14:paraId="0ADDB4F8">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8、支持车辆捕获抓拍功能，在天气晴朗无雾，号牌无遮挡、无污损，白天环境光照度不低于200lx，晚上辅助光照度不高于30lx的条件下测试，白天和晚上的捕获率均≥99%；</w:t>
      </w:r>
    </w:p>
    <w:p w14:paraId="16642F26">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9、支持车牌识别功能，在天气晴朗无雾，号牌无遮挡、无污损，白天环境光照度不低于200lx，晚上辅助光照度不高于30lx的条件下测试，白天和晚上的识别准确率均≥99%；</w:t>
      </w:r>
    </w:p>
    <w:p w14:paraId="468CECD9">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10、支持异常车牌检测功能，可对故意遮挡及污损车牌进行判断和识别；</w:t>
      </w:r>
    </w:p>
    <w:p w14:paraId="3F076E64">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11、支持按车道和时间段配置机动车违法检测抓拍规则，包括压线、违法变道、不按导向行驶、占用非机动车道、倒车、闯红灯、不按规定车道行驶、占用公交车道、逆行、违反禁止左/右转、违法掉头、违反禁货车通行；</w:t>
      </w:r>
    </w:p>
    <w:p w14:paraId="0CB7794D">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12、支持车辆子品牌识别，对车头图片进行分析抓拍，可分析输出OSD叠加不少于7200种车辆子品牌并显示相应的年款，对车尾图片进行分析抓拍，可分析输出OSD叠加不少于3900种车辆子品牌并显示相应的年款；</w:t>
      </w:r>
    </w:p>
    <w:p w14:paraId="11662E19">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13、支持对25×10像素～1100×3000像素的机动车车牌进行抓拍并识别号码；支持抓拍并识别垂直倾斜角度≤45°、水平倾斜角度≤35°、俯仰角度≤40°的机动车车牌号码；（提供具有CMA标识的国家权威机构检测报告原件扫描件证明并加盖投标人公章）</w:t>
      </w:r>
    </w:p>
    <w:p w14:paraId="4DF50FFE">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14、在天气晴朗无雾，号牌无遮挡，无污损的条件进行测试，白天测试时的环境光照度不低于200lx，晚上测试时辅助照明光照度不高于30lx。白天闯红灯捕获率≥99%;晚上闯红灯捕获率≥99%；</w:t>
      </w:r>
    </w:p>
    <w:p w14:paraId="02E9F56B">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15、设备需支持35114A级加密；</w:t>
      </w:r>
    </w:p>
    <w:p w14:paraId="2DC5067E">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16、设备采用180VAC～240VAC供电；频率：48Hz～52Hz；</w:t>
      </w:r>
    </w:p>
    <w:p w14:paraId="37EDD584">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17、防护等级不低于IP66。</w:t>
      </w:r>
    </w:p>
    <w:p w14:paraId="28FD3345">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900万电警相机采集的各类数据需无缝对接各类平台包括【大丰公安视频图象信息应用平台（抓拍数据汇聚至视图库），抓拍数据需同时实现交通违法综合管理应用平台、公安部集成指挥等平台深度应用】，并提供无缝对接承诺函加盖投标单位公章。</w:t>
      </w:r>
    </w:p>
    <w:p w14:paraId="4B8177AB">
      <w:pPr>
        <w:keepNext/>
        <w:pageBreakBefore w:val="0"/>
        <w:widowControl w:val="0"/>
        <w:kinsoku/>
        <w:wordWrap/>
        <w:overflowPunct/>
        <w:topLinePunct w:val="0"/>
        <w:autoSpaceDE/>
        <w:autoSpaceDN/>
        <w:bidi w:val="0"/>
        <w:adjustRightInd/>
        <w:snapToGrid w:val="0"/>
        <w:spacing w:line="440" w:lineRule="exact"/>
        <w:ind w:firstLine="482" w:firstLineChars="200"/>
        <w:jc w:val="left"/>
        <w:textAlignment w:val="auto"/>
        <w:outlineLvl w:val="3"/>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3.5.8 500万电警相机</w:t>
      </w:r>
    </w:p>
    <w:p w14:paraId="15B4A766">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1、设备包含高清智能摄像机、高清镜头、单元防护罩、内置LED补光灯、相机内置网络防雷器、电源适配器等；</w:t>
      </w:r>
    </w:p>
    <w:p w14:paraId="3C271162">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2、设备采用2/3英寸全局曝光CMOS传感器，最大图像尺寸2448×2048像素；</w:t>
      </w:r>
    </w:p>
    <w:p w14:paraId="3B094E18">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3、视频压缩支持H.265、H.264、M-JPEG；</w:t>
      </w:r>
    </w:p>
    <w:p w14:paraId="70DF902E">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4、设备内置两个图像传感器，可分别输出黑白及彩色图像，设备可对视频图像和抓拍图片进行融合输出；</w:t>
      </w:r>
    </w:p>
    <w:p w14:paraId="504AB514">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5、支持车辆捕获抓拍功能，在天气晴朗无雾，号牌无遮挡、无污损，白天环境光照度不低于200lx，晚上辅助光照度不高于30lx的条件下测试，白天和晚上的捕获率均≥99%；</w:t>
      </w:r>
    </w:p>
    <w:p w14:paraId="50163893">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6、支持车牌识别功能（含新能源），在白天环境光照度不低于200lx，晚上辅助光照度不高于30lx的条件下测试，白天和晚上的识别率均≥99%；</w:t>
      </w:r>
    </w:p>
    <w:p w14:paraId="4BDEC2F7">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7、支持车辆闯红灯捕获抓拍功能，在天气晴朗无雾，号牌无遮挡，无污损，白天环境光照度不低于200lx，晚上辅助照明光照度不高于30lx的条件下进行测试，白天车辆闯红灯行为捕获率≥99%；晚上车辆闯红灯行为捕获率≥99%；</w:t>
      </w:r>
    </w:p>
    <w:p w14:paraId="7CCA6D00">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8、设备可在左右45°范围内识别机动车车辆特征，包括车牌号码、车身颜色、车辆类型；支持大型货车闯红灯抓拍功能，包括拖车、挂车、罐车、平板货车、集装箱牵引车、渣土车等货车类型；（提供具有CMA标识的国家权威机构检测报告原件扫描件证明并加盖投标人公章）</w:t>
      </w:r>
    </w:p>
    <w:p w14:paraId="34EA89A9">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9、支持车辆子品牌识别并显示相应的年款，车头≥7500种，车尾≥3900种，支持识别不少于50种车型；</w:t>
      </w:r>
    </w:p>
    <w:p w14:paraId="10005A21">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10、支持按车道和时间段配置机动车违法检测抓拍规则，包括压线、违法变道、不按导向行驶、占用非机动车道、倒车、闯红灯、不按规定车道行驶、占用公交车道、逆行、违反禁止左/右转、违法掉头、违反禁货车通行；</w:t>
      </w:r>
    </w:p>
    <w:p w14:paraId="508CC2E6">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11、支持对摩托车闯红灯、逆行、载人、未戴头盔行为进行检测并抓拍图片；支持车辆抓拍，支持抓拍输出车牌局部照片、车窗局部照片、非机动车局部照片、场景全景图片；（提供具有CMA标识的国家权威机构检测报告原件扫描件证明并加盖投标人公章）</w:t>
      </w:r>
    </w:p>
    <w:p w14:paraId="031BB70B">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12、支持对25×10像素～1100×3000像素的机动车车牌进行抓拍并识别；支持识别并抓拍垂直倾斜角度≤55°、水平倾斜角度≤35°、俯仰角度≤40°的机动车车牌；</w:t>
      </w:r>
    </w:p>
    <w:p w14:paraId="64C3A632">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13、支持检测并跟踪指定区域内不少于245个目标，目标包括机动车、非机动车以及行人；</w:t>
      </w:r>
    </w:p>
    <w:p w14:paraId="617801CF">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14、支持大型货车闯红灯抓拍功能，包括拖车、挂车、罐车、平板货车、集装箱牵引车、渣土车等货车类型；</w:t>
      </w:r>
    </w:p>
    <w:p w14:paraId="4FBB4986">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15、支持35114A级加密；</w:t>
      </w:r>
    </w:p>
    <w:p w14:paraId="02F00733">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16、防护等级不低于IP66；</w:t>
      </w:r>
    </w:p>
    <w:p w14:paraId="0E58D9B4">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17、设备采用180VAC～240VAC供电；频率：48Hz～52Hz；</w:t>
      </w:r>
    </w:p>
    <w:p w14:paraId="7A0DF6AE">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500万电警相机采集的各类数据需无缝对接各类平台包括【大丰公安视频图象信息应用平台（抓拍数据汇聚至视图库），抓拍数据需同时实现交通违法综合管理应用平台、公安部集成指挥等平台深度应用】，并提供无缝对接承诺函加盖投标单位公章。</w:t>
      </w:r>
    </w:p>
    <w:p w14:paraId="4322B17B">
      <w:pPr>
        <w:keepNext/>
        <w:pageBreakBefore w:val="0"/>
        <w:widowControl w:val="0"/>
        <w:kinsoku/>
        <w:wordWrap/>
        <w:overflowPunct/>
        <w:topLinePunct w:val="0"/>
        <w:autoSpaceDE/>
        <w:autoSpaceDN/>
        <w:bidi w:val="0"/>
        <w:adjustRightInd/>
        <w:snapToGrid w:val="0"/>
        <w:spacing w:line="440" w:lineRule="exact"/>
        <w:ind w:firstLine="482" w:firstLineChars="200"/>
        <w:jc w:val="left"/>
        <w:textAlignment w:val="auto"/>
        <w:outlineLvl w:val="3"/>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3.5.9 900万环保卡口相机</w:t>
      </w:r>
    </w:p>
    <w:p w14:paraId="1DA36A3A">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1、设备包含高清智能摄像机、高清镜头、单元防护罩、内置LED补光灯、相机内置网络防雷器、电源适配器等；</w:t>
      </w:r>
    </w:p>
    <w:p w14:paraId="76345280">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★2、内置不小于1英寸高帧率彩色全局曝光CMOS高清智能摄像机，最大图像尺寸≥4096×2960像素，视频分辨率支持4096×2960；（提供具有CMA标识的国家权威机构检测报告原件扫描件证明并加盖投标人公章）</w:t>
      </w:r>
    </w:p>
    <w:p w14:paraId="7A6B7FBC">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设备的镜头和两个sensor一体化设计，具有独立三角分光棱镜分光结构装置，分别接收可见光和红外光，抓拍支持输出三张同时刻目标图片，包括可见光路图片，红外路图片和融合图片，三张图片抓拍时间为同一时刻，抓拍运动目标，三张图片中目标位置相同无位移；</w:t>
      </w:r>
    </w:p>
    <w:p w14:paraId="3C3F5BDD">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4、视频压缩支持H.265、H.264、M-JPEG；</w:t>
      </w:r>
    </w:p>
    <w:p w14:paraId="60381A6F">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5、支持机动车、二轮车（摩托车、自行车、电动二轮车）、三轮车和行人分类检测；</w:t>
      </w:r>
    </w:p>
    <w:p w14:paraId="665C125B">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6、支持车前窗挂坠识别、年检标识识别、驾驶员抽烟识别、驾驶员人脸识别、遮阳板识别功能，支持驾驶室人脸抠图；</w:t>
      </w:r>
    </w:p>
    <w:p w14:paraId="5C17DBB1">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7、支持检测并跟踪指定区域内不少于200个目标,目标包括机动车、非机动车以及行人等；</w:t>
      </w:r>
    </w:p>
    <w:p w14:paraId="7C7C4BF3">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8、支持车辆捕获抓拍功能，在天气晴朗无雾，号牌无遮挡、无污损，白天环境光照度不低于200lx，晚上辅助光照度不高于30lx的条件下测试，白天和晚上的捕获率均≥99%；</w:t>
      </w:r>
    </w:p>
    <w:p w14:paraId="33354C73">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9、支持车牌识别功能（含新能源），在天气晴朗无雾，号牌无遮挡、无污损，白天环境光照度不低于200lx，晚上辅助光照度不高于30lx的条件下测试，白天和晚上的识别准确率均≥99%；</w:t>
      </w:r>
    </w:p>
    <w:p w14:paraId="30C69FBA">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10、支持识别不少于39种车身颜色，包括白、黑、红、黄、灰、蓝、绿、粉、紫、暗紫、棕、栗色、银灰、暗灰、白烟、深橙、浅玫瑰、番茄红、橄榄、金、暗橄榄、黄绿、绿黄、森林绿、海洋绿、深天蓝、青、深蓝、深红、深绿、深黄、深粉、深紫、深棕、深青、橙、深金、粉红、其他；支持识别车身副颜色；</w:t>
      </w:r>
    </w:p>
    <w:p w14:paraId="54E61001">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11、支持前排人脸检测，并识别主驾驶员的性别、是否戴眼镜结构化属性信息，可在抓拍图上叠加主/副驾驶人脸小图和主驾驶员的结构化属性信息；支持检测并跟踪指定区域内不少于245个目标，目标包括机动车、非机动车以及行人；（提供具有CMA标识的国家权威机构检测报告原件扫描件证明并加盖投标人公章）</w:t>
      </w:r>
    </w:p>
    <w:p w14:paraId="2F69A626">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12、支持异常车牌检测功能，可对故意遮挡及污损车牌进行判断和识别；</w:t>
      </w:r>
    </w:p>
    <w:p w14:paraId="4B4CEEA8">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13、支持车辆子品牌识别功能，通过车头可识别7100种，通过车尾可识别3800种，全天识别准确率不低于99%；</w:t>
      </w:r>
    </w:p>
    <w:p w14:paraId="0E23E1B4">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14、设备可在左右45°范围内识别机动车车辆特征，包括车牌号码、车身颜色、车辆类型；支持对25×10像素～1100×3000像素的机动车车牌进行抓拍并识别号码；支持抓拍并识别垂直倾斜角度≤45°、水平倾斜角度≤35°、俯仰角度≤40°的机动车车牌号码；</w:t>
      </w:r>
    </w:p>
    <w:p w14:paraId="3AEA5E63">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15、支持外接多目标检测雷达，可实现雷达视频融合检测，可输出目标编号、车型和雷达速度、位置等信息；支持视频测速功能，视频测速误差不大于5%；（提供具有CMA标识的国家权威机构检测报告原件扫描件证明并加盖投标人公章）</w:t>
      </w:r>
    </w:p>
    <w:p w14:paraId="03350582">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16、支持检测并跟踪指定区域内不少于245个目标，目标包括机动车、非机动车以及行人；</w:t>
      </w:r>
    </w:p>
    <w:p w14:paraId="7FD58322">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17、具有抓拍黄牌车、蓝牌车、绿牌车、渐变绿牌车、黑牌车、白牌车、黄绿双拼牌车和不启用抓拍八个设置选项。可对蓝色、黄色、绿色、渐变绿色、黑色、白色、黄绿双拼色以及其他不同颜色车牌的车辆进行选择抓拍；</w:t>
      </w:r>
    </w:p>
    <w:p w14:paraId="344F9FDA">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18、支持检测并跟踪指定区域内不少于245个目标，目标包括机动车、非机动车以及行人；</w:t>
      </w:r>
    </w:p>
    <w:p w14:paraId="4838D588">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19、支持35114A级加密；</w:t>
      </w:r>
    </w:p>
    <w:p w14:paraId="6EFA27E4">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20、外壳防护等级应不低于IP66；</w:t>
      </w:r>
    </w:p>
    <w:p w14:paraId="3C3F7A23">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21、设备采用180VAC～240VAC供电；频率：48Hz～52Hz；</w:t>
      </w:r>
    </w:p>
    <w:p w14:paraId="42B4210F">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900万环保卡口相机采集的各类数据需无缝对接各类平台包括【大丰公安视频图象信息应用平台（抓拍数据汇聚至视图库），抓拍数据需同时实现交通违法综合管理应用平台、公安部集成指挥等平台深度应用】，并提供无缝对接承诺函加盖投标单位公章。</w:t>
      </w:r>
    </w:p>
    <w:p w14:paraId="40E964FB">
      <w:pPr>
        <w:keepNext/>
        <w:pageBreakBefore w:val="0"/>
        <w:widowControl w:val="0"/>
        <w:kinsoku/>
        <w:wordWrap/>
        <w:overflowPunct/>
        <w:topLinePunct w:val="0"/>
        <w:autoSpaceDE/>
        <w:autoSpaceDN/>
        <w:bidi w:val="0"/>
        <w:adjustRightInd/>
        <w:snapToGrid w:val="0"/>
        <w:spacing w:line="440" w:lineRule="exact"/>
        <w:ind w:firstLine="482" w:firstLineChars="200"/>
        <w:jc w:val="left"/>
        <w:textAlignment w:val="auto"/>
        <w:outlineLvl w:val="3"/>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3.5.10 500万环保卡口相机</w:t>
      </w:r>
    </w:p>
    <w:p w14:paraId="26F15D1C">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1、设备包含高清智能摄像机、高清镜头、单元防护罩、内置LED补光灯、相机内置网络防雷器、电源适配器等；</w:t>
      </w:r>
    </w:p>
    <w:p w14:paraId="2ADE1702">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2、内置传感器类型为2/3英寸GS-CMOS，最大图像尺寸≥2448×2048像素；</w:t>
      </w:r>
    </w:p>
    <w:p w14:paraId="2E68CD3D">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设备的镜头和两个sensor一体化设计，具有独立三角分光棱镜分光结构装置，分别接收可见光和红外光，抓拍支持输出三张同时刻目标图片，包括可见光路图片，红外路图片和融合图片，三张图片抓拍时间为同一时刻，抓拍运动目标，三张图片中目标位置相同无位移；</w:t>
      </w:r>
    </w:p>
    <w:p w14:paraId="79C00EC0">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4、视频压缩支持H.265、H.264、M-JPEG；</w:t>
      </w:r>
    </w:p>
    <w:p w14:paraId="02EF95AC">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5、支持车辆捕获抓拍功能，在天气晴朗无雾，号牌无遮挡、无污损，白天环境光照度不低于200lx，晚上辅助光照度不高于30lx的条件下测试，白天和晚上的捕获率均≥99%；</w:t>
      </w:r>
    </w:p>
    <w:p w14:paraId="69B99969">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6、支持车牌识别功能（含新能源），在白天环境光照度不低于200lx，晚上辅助光照度不高于30lx的条件下测试，白天和晚上的识别率均≥99%；</w:t>
      </w:r>
    </w:p>
    <w:p w14:paraId="1192F2C5">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7、开启混合抓拍模式后，支持对骑自行车、骑三轮车、骑电动车、骑车带人等非机动车的抓拍；支持对轿车、客车、面包车、货车、卡车、摩托车等机动车的抓拍；</w:t>
      </w:r>
    </w:p>
    <w:p w14:paraId="08161185">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8、设备支持人脸区域自动曝光，可根据人脸区域和光照变化自动调节人脸区域曝光参数；可通过IE浏览器设置人脸自动曝光的参考亮度、最短持续时间和人脸过滤时间；</w:t>
      </w:r>
    </w:p>
    <w:p w14:paraId="20689D66">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9、支持对行人和非机动车的人脸进行检测与抠图，高像素状态下，抓拍人脸像素点约为150*150；可对人脸抠图的像素大小、亮度、边框放大倍数进行调节，抠图准确率≥99%；支持对30米处的行人进行人脸抓拍，并可生成分辨率不小于110像素×120像素的人脸图片,图片中人脸两眼瞳距应≥40像素；（提供具有CMA标识的国家权威机构检测报告原件扫描件证明并加盖投标人公章）</w:t>
      </w:r>
    </w:p>
    <w:p w14:paraId="62877BC6">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10、支持检测并跟踪指定区域内不少于200个目标,目标包括机动车、非机动车以及行人等；</w:t>
      </w:r>
    </w:p>
    <w:p w14:paraId="196277A1">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11、支持识别不少于39种车身颜色，包括白、黑、红、黄、灰、蓝、绿、粉、紫、暗紫、棕、栗色、银灰、暗灰、白烟、深橙、浅玫瑰、番茄红、橄榄、金、暗橄榄、黄绿、绿黄、森林绿、海洋绿、深天蓝、青、深蓝、深红、深绿、深黄、深粉、深紫、深棕、深青、橙、深金、粉红、其他；支持识别车身副颜色；</w:t>
      </w:r>
    </w:p>
    <w:p w14:paraId="1864A755">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12、支持车辆抓拍，支持抓拍输出车牌局部照片、车窗局部照片、非机动车局部照片、场景全景图片；支持检测并跟踪指定区域内不少于245个目标，目标包括机动车、非机动车以及行人；（提供具有CMA标识的国家权威机构检测报告原件扫描件证明并加盖投标人公章）</w:t>
      </w:r>
    </w:p>
    <w:p w14:paraId="5C77673A">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13、支持对25×10像素～1100×3000像素的机动车车牌进行抓拍并识别号码；支持抓拍并识别垂直倾斜角度≤45°、水平倾斜角度≤35°、俯仰角度≤40°的机动车车牌号码；</w:t>
      </w:r>
    </w:p>
    <w:p w14:paraId="1D1D81A2">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14、具有抓拍黄牌车、蓝牌车、绿牌车、渐变绿牌车、黑牌车、白牌车、黄绿双拼牌车和不启用抓拍八个设置选项；可对蓝色、黄色、绿色、渐变绿色、黑色、白色、黄绿双拼色以及其他不同颜色车牌的车辆进行选择抓拍；</w:t>
      </w:r>
    </w:p>
    <w:p w14:paraId="01E28030">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15、支持识别车标类型≥450种；在天气晴朗无雾，车辆无遮挡，白天环境光照度不低于200lx，夜晚辅助光照度不高于30lx的情况下进行测试；白天车标识别准确率≥99%；晚上车标识别准确率≥99%；</w:t>
      </w:r>
    </w:p>
    <w:p w14:paraId="144DE50A">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16、支持35114A级加密；</w:t>
      </w:r>
    </w:p>
    <w:p w14:paraId="72BCCC1D">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17、防护等级不低于IP66；</w:t>
      </w:r>
    </w:p>
    <w:p w14:paraId="2B817AF6">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18、设备采用180VAC～240VAC供电；频率：48Hz～52Hz；</w:t>
      </w:r>
    </w:p>
    <w:p w14:paraId="7375D75E">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500万环保卡口相机采集的各类数据需无缝对接各类平台包括【大丰公安视频图象信息应用平台（抓拍数据汇聚至视图库），抓拍数据需同时实现交通违法综合管理应用平台、公安部集成指挥等平台深度应用】，并提供无缝对接承诺函加盖投标单位公章。</w:t>
      </w:r>
    </w:p>
    <w:p w14:paraId="7EF980EE">
      <w:pPr>
        <w:keepNext/>
        <w:pageBreakBefore w:val="0"/>
        <w:widowControl w:val="0"/>
        <w:kinsoku/>
        <w:wordWrap/>
        <w:overflowPunct/>
        <w:topLinePunct w:val="0"/>
        <w:autoSpaceDE/>
        <w:autoSpaceDN/>
        <w:bidi w:val="0"/>
        <w:adjustRightInd/>
        <w:snapToGrid w:val="0"/>
        <w:spacing w:line="440" w:lineRule="exact"/>
        <w:ind w:firstLine="482" w:firstLineChars="200"/>
        <w:jc w:val="left"/>
        <w:textAlignment w:val="auto"/>
        <w:outlineLvl w:val="3"/>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3.5.11 400W球机</w:t>
      </w:r>
    </w:p>
    <w:p w14:paraId="312F2F2D">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设备靶面尺寸为1/1.8英寸，设备内置不少于8颗补光灯，主码流不低于2688x1520；</w:t>
      </w:r>
    </w:p>
    <w:p w14:paraId="6D036BE4">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最低照度彩色不大于0.0002 lx，黑白不大于0.0001 lx；</w:t>
      </w:r>
    </w:p>
    <w:p w14:paraId="11CB98A9">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设备支持不少于23倍光学变倍及16倍数字变倍；</w:t>
      </w:r>
    </w:p>
    <w:p w14:paraId="50948438">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夜间天气晴朗无遮挡，红外补光灯开启，可识别距离设备500m处的人体轮廓；</w:t>
      </w:r>
    </w:p>
    <w:p w14:paraId="5C22BCCA">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支持水平0° ~ 360°，连续旋转；垂直 -15° ~ 90°；</w:t>
      </w:r>
    </w:p>
    <w:p w14:paraId="2AA96FD8">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支持1024个预置位，可按照所设置的预置位完成大于32条巡航路径，支持预置位视频冻结功能；</w:t>
      </w:r>
    </w:p>
    <w:p w14:paraId="791534E9">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设备支持接入壁装和吊装警戒配件，警戒配件支持声光警戒功能，当人或车辆进入警戒区域后，警戒配件可发出红蓝灯警示，蜂鸣器报警；</w:t>
      </w:r>
    </w:p>
    <w:p w14:paraId="34FD8A0B">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设备在专用聚焦模式具备前景聚焦、后景聚焦、区域聚焦功能；</w:t>
      </w:r>
    </w:p>
    <w:p w14:paraId="4EDC9837">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可支持不低于512G的内存卡；</w:t>
      </w:r>
    </w:p>
    <w:p w14:paraId="42696E80">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防护：IP66; 6000V 防雷、防浪涌、防突波，符合GB/T17626.2/3/4/5/6四级标准。</w:t>
      </w:r>
    </w:p>
    <w:p w14:paraId="2432C862">
      <w:pPr>
        <w:keepNext/>
        <w:pageBreakBefore w:val="0"/>
        <w:widowControl w:val="0"/>
        <w:kinsoku/>
        <w:wordWrap/>
        <w:overflowPunct/>
        <w:topLinePunct w:val="0"/>
        <w:autoSpaceDE/>
        <w:autoSpaceDN/>
        <w:bidi w:val="0"/>
        <w:adjustRightInd/>
        <w:snapToGrid w:val="0"/>
        <w:spacing w:line="440" w:lineRule="exact"/>
        <w:ind w:firstLine="482" w:firstLineChars="200"/>
        <w:jc w:val="left"/>
        <w:textAlignment w:val="auto"/>
        <w:outlineLvl w:val="3"/>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3.5.12交换机（8口）</w:t>
      </w:r>
    </w:p>
    <w:p w14:paraId="78FCF7D9">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至少具备8个千兆电口, 支持12~55V DC供电；</w:t>
      </w:r>
    </w:p>
    <w:p w14:paraId="0915BDD4">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抗震抗摔压铸铝合金外壳，耐腐蚀耐氧化永不生锈，防护等级不低于IP40, 具备IP40防护等级认证报告；</w:t>
      </w:r>
    </w:p>
    <w:p w14:paraId="3BC00CBB">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采用防松动螺丝紧固式端子式电源接头；</w:t>
      </w:r>
    </w:p>
    <w:p w14:paraId="11533236">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背板带宽不小于24Gbps，适用于需要高流量低延时业务；</w:t>
      </w:r>
    </w:p>
    <w:p w14:paraId="35B528B3">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运行温度：-40度到75度； </w:t>
      </w:r>
    </w:p>
    <w:p w14:paraId="5C98E691">
      <w:pPr>
        <w:keepNext/>
        <w:pageBreakBefore w:val="0"/>
        <w:widowControl w:val="0"/>
        <w:kinsoku/>
        <w:wordWrap/>
        <w:overflowPunct/>
        <w:topLinePunct w:val="0"/>
        <w:autoSpaceDE/>
        <w:autoSpaceDN/>
        <w:bidi w:val="0"/>
        <w:adjustRightInd/>
        <w:snapToGrid w:val="0"/>
        <w:spacing w:line="440" w:lineRule="exact"/>
        <w:ind w:firstLine="482" w:firstLineChars="200"/>
        <w:jc w:val="left"/>
        <w:textAlignment w:val="auto"/>
        <w:outlineLvl w:val="3"/>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3.5.13LED环保补光灯</w:t>
      </w:r>
    </w:p>
    <w:p w14:paraId="437C439B">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LED灯珠：16颗原装进口大功率暖光LED灯珠</w:t>
      </w:r>
    </w:p>
    <w:p w14:paraId="113A6754">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光照角度：15/25/40度常规，40度常规</w:t>
      </w:r>
    </w:p>
    <w:p w14:paraId="089AC913">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覆盖范围：单车道</w:t>
      </w:r>
    </w:p>
    <w:p w14:paraId="3520A349">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最的佳补光距离：16米～28米</w:t>
      </w:r>
    </w:p>
    <w:p w14:paraId="40250900">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触发方式:同时支持电平量触发、开关量触发</w:t>
      </w:r>
    </w:p>
    <w:p w14:paraId="67D72AE6">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视频补光同步：支持</w:t>
      </w:r>
    </w:p>
    <w:p w14:paraId="4495BAF5">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抓拍补光同步：支持</w:t>
      </w:r>
    </w:p>
    <w:p w14:paraId="3F321714">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参数配置：支持，支持自闪、跟随、自动频闪（外部摄像机触发）模式</w:t>
      </w:r>
    </w:p>
    <w:p w14:paraId="7FAC3E71">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频闪亮度调节：支持亮度可调，档位由相机随意调整</w:t>
      </w:r>
    </w:p>
    <w:p w14:paraId="0DE46FA3">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环境亮度：相机控制        </w:t>
      </w:r>
    </w:p>
    <w:p w14:paraId="0F9B79FD">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防护等级：IP66；</w:t>
      </w:r>
    </w:p>
    <w:p w14:paraId="1AD9EB77">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必须与大丰现有电警相机适配，满足电警抓拍要求</w:t>
      </w:r>
    </w:p>
    <w:p w14:paraId="5AA3941C">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bidi="ar-SA"/>
        </w:rPr>
        <w:t xml:space="preserve">▲防眩目功能：支持一键开启/关闭防眩目功能。（投标时须提供国家权威机构出具的检测报告原件扫描件证明并加盖投标单位公章）                                            </w:t>
      </w:r>
      <w:r>
        <w:rPr>
          <w:rFonts w:hint="eastAsia" w:ascii="宋体" w:hAnsi="宋体" w:eastAsia="宋体" w:cs="宋体"/>
          <w:color w:val="auto"/>
          <w:kern w:val="2"/>
          <w:sz w:val="24"/>
          <w:szCs w:val="24"/>
          <w:highlight w:val="none"/>
        </w:rPr>
        <w:t xml:space="preserve">                                                                                                                                                                                                                                                                                                                                                                                      </w:t>
      </w:r>
    </w:p>
    <w:p w14:paraId="5075CEA9">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▲相机控制功能：支持通过相机IO口调节补光灯亮度等级。（投标时须提供国家权威机构出具的检测报告原件扫描件证明并加盖投标单位公章）</w:t>
      </w:r>
    </w:p>
    <w:p w14:paraId="08E3F2F1">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★符合GA/T 1202-2022《交通技术监控成像补光装置通用技术条件》中的二级补光装置要求，（投标时须提供国家权威机构出具的检测报告原件扫描件证明并加盖投标单位公章）</w:t>
      </w:r>
    </w:p>
    <w:p w14:paraId="11B0D53B">
      <w:pPr>
        <w:keepNext/>
        <w:pageBreakBefore w:val="0"/>
        <w:widowControl w:val="0"/>
        <w:kinsoku/>
        <w:wordWrap/>
        <w:overflowPunct/>
        <w:topLinePunct w:val="0"/>
        <w:autoSpaceDE/>
        <w:autoSpaceDN/>
        <w:bidi w:val="0"/>
        <w:adjustRightInd/>
        <w:snapToGrid w:val="0"/>
        <w:spacing w:line="440" w:lineRule="exact"/>
        <w:ind w:firstLine="482" w:firstLineChars="200"/>
        <w:jc w:val="left"/>
        <w:textAlignment w:val="auto"/>
        <w:outlineLvl w:val="3"/>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3.5.14四合一环保补光灯</w:t>
      </w:r>
    </w:p>
    <w:p w14:paraId="4E180002">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光源：进口石英灯管+24颗进口原装CREE大功率LED灯珠双光源；            </w:t>
      </w:r>
    </w:p>
    <w:p w14:paraId="09C531A9">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闪光指数：GN 73（ISO 100 1M）；</w:t>
      </w:r>
    </w:p>
    <w:p w14:paraId="6D0EC734">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闪光次数：≥2000万次；                                                                    </w:t>
      </w:r>
    </w:p>
    <w:p w14:paraId="6AFD198A">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色温：3500-6500K（夜晚红外补光）；</w:t>
      </w:r>
    </w:p>
    <w:p w14:paraId="0AC9A285">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照射距离：标配18-32m；</w:t>
      </w:r>
    </w:p>
    <w:p w14:paraId="746C84A1">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日夜功能：支持环境亮度检测，根据亮度切换光源（白天爆闪补光，夜晚红外+LED补光）；</w:t>
      </w:r>
    </w:p>
    <w:p w14:paraId="02291D29">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触发输入：1路频闪触发输出，1路爆闪触发输入，1路转页触发输入；                   </w:t>
      </w:r>
    </w:p>
    <w:p w14:paraId="7E506D5B">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供电电源：AC180V-250V(50Hz）              </w:t>
      </w:r>
    </w:p>
    <w:p w14:paraId="6E80367E">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工作环境温度：-40℃~+80℃；</w:t>
      </w:r>
    </w:p>
    <w:p w14:paraId="47B7690C">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工作环境湿度：10%Rh～95%Rh;    </w:t>
      </w:r>
    </w:p>
    <w:p w14:paraId="6245D324">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光敏控制功能：支持通过RS485或RJ45接口远程调节光敏阈值，阈值多级可调。支持光敏阈值根据环境光照度自动适应调节。支持自适应亮灯，自适应熄灯。（投标时提供符合GAT1202-2022标准的国家权威机构检测报告原件扫描件加盖投标人公章）</w:t>
      </w:r>
    </w:p>
    <w:p w14:paraId="2BC1E77E">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▲同步功能：支持补光灯与摄像机自适应同步。（投标时提供符合GAT1202-2022标准的国家权威机构检测报告原件扫描件加盖投标人公章）</w:t>
      </w:r>
    </w:p>
    <w:p w14:paraId="0ED95C97">
      <w:pPr>
        <w:pageBreakBefore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★符合GA/T 1202-2022《交通技术监控成像补光装置通用技术条件》，（投标时须提供公安部权威机构检测报告原件扫描件证明并加盖投标单位公章）；</w:t>
      </w:r>
    </w:p>
    <w:p w14:paraId="7532E00F">
      <w:pPr>
        <w:keepNext/>
        <w:pageBreakBefore w:val="0"/>
        <w:widowControl w:val="0"/>
        <w:kinsoku/>
        <w:wordWrap/>
        <w:overflowPunct/>
        <w:topLinePunct w:val="0"/>
        <w:autoSpaceDE/>
        <w:autoSpaceDN/>
        <w:bidi w:val="0"/>
        <w:adjustRightInd/>
        <w:snapToGrid w:val="0"/>
        <w:spacing w:line="440" w:lineRule="exact"/>
        <w:ind w:firstLine="482" w:firstLineChars="200"/>
        <w:jc w:val="left"/>
        <w:textAlignment w:val="auto"/>
        <w:outlineLvl w:val="3"/>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3.5.15前端处理终端</w:t>
      </w:r>
    </w:p>
    <w:p w14:paraId="335FD054">
      <w:pPr>
        <w:keepNext w:val="0"/>
        <w:keepLines w:val="0"/>
        <w:pageBreakBefore w:val="0"/>
        <w:widowControl w:val="0"/>
        <w:tabs>
          <w:tab w:val="left" w:pos="0"/>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支持12路IPC接入，支持新国标电警；</w:t>
      </w:r>
    </w:p>
    <w:p w14:paraId="160672FF">
      <w:pPr>
        <w:keepNext w:val="0"/>
        <w:keepLines w:val="0"/>
        <w:pageBreakBefore w:val="0"/>
        <w:widowControl w:val="0"/>
        <w:tabs>
          <w:tab w:val="left" w:pos="0"/>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支持区间测速功能；</w:t>
      </w:r>
    </w:p>
    <w:p w14:paraId="54E149BB">
      <w:pPr>
        <w:keepNext w:val="0"/>
        <w:keepLines w:val="0"/>
        <w:pageBreakBefore w:val="0"/>
        <w:widowControl w:val="0"/>
        <w:tabs>
          <w:tab w:val="left" w:pos="0"/>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设备具有18个10M/100M/1000M自适应RJ45接口、2个1000M SFP光口；</w:t>
      </w:r>
    </w:p>
    <w:p w14:paraId="5832C51A">
      <w:pPr>
        <w:keepNext w:val="0"/>
        <w:keepLines w:val="0"/>
        <w:pageBreakBefore w:val="0"/>
        <w:widowControl w:val="0"/>
        <w:tabs>
          <w:tab w:val="left" w:pos="0"/>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可设置图片的存储空间，在规定的空间内自动循环覆盖，剩余空间为录像存储空间；</w:t>
      </w:r>
    </w:p>
    <w:p w14:paraId="3BDA79D8">
      <w:pPr>
        <w:keepNext w:val="0"/>
        <w:keepLines w:val="0"/>
        <w:pageBreakBefore w:val="0"/>
        <w:widowControl w:val="0"/>
        <w:tabs>
          <w:tab w:val="left" w:pos="0"/>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对于在记录过程中出现的系统死机或意外故障，设备能够在规定的时间内自动恢复其正常工作状态并使故障前的信息不丢失；</w:t>
      </w:r>
    </w:p>
    <w:p w14:paraId="5994AF0A">
      <w:pPr>
        <w:keepNext w:val="0"/>
        <w:keepLines w:val="0"/>
        <w:pageBreakBefore w:val="0"/>
        <w:widowControl w:val="0"/>
        <w:tabs>
          <w:tab w:val="left" w:pos="0"/>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设备内的录像、图片文件无法直接删除或者修改，只能通过循环覆盖和硬盘格式化操作；</w:t>
      </w:r>
    </w:p>
    <w:p w14:paraId="5D59556D">
      <w:pPr>
        <w:keepNext w:val="0"/>
        <w:keepLines w:val="0"/>
        <w:pageBreakBefore w:val="0"/>
        <w:widowControl w:val="0"/>
        <w:tabs>
          <w:tab w:val="left" w:pos="0"/>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支持数据直存，可将视频流直接写入存储；采用自动分段记录格式时，相邻两段间最大记录间隔时间应≤0.4s；对于记录在存储介质上的视(音)频信息，取出的存储介质应能在同型号的其他设备上正常回放，以保证设备发生故障后记录资料的留存(或复制)；</w:t>
      </w:r>
    </w:p>
    <w:p w14:paraId="031468E8">
      <w:pPr>
        <w:keepNext w:val="0"/>
        <w:keepLines w:val="0"/>
        <w:pageBreakBefore w:val="0"/>
        <w:widowControl w:val="0"/>
        <w:tabs>
          <w:tab w:val="left" w:pos="0"/>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支持违章图片合成。图片合成方式（合成顺序、特写位置）可设；支持按通道分别设置合成图片的大小，且特写图及其大小可选择设置；支持匹配前端卡口和电警的车牌号，合成抓拍车头和车尾的图片，实现违章与卡口合成，合成方式四合一、六合一可选；支持将2张、3张、4张图片合成为一张图片;（提供具有CMA标识的国家权威机构检测报告原件扫描件证明并加盖投标人公章）</w:t>
      </w:r>
    </w:p>
    <w:p w14:paraId="4274AEC6">
      <w:pPr>
        <w:keepNext w:val="0"/>
        <w:keepLines w:val="0"/>
        <w:pageBreakBefore w:val="0"/>
        <w:widowControl w:val="0"/>
        <w:tabs>
          <w:tab w:val="left" w:pos="0"/>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设备内的录像、图片文件无法直接删除或者修改，只能通过循环覆盖和硬盘格式化操作；</w:t>
      </w:r>
    </w:p>
    <w:p w14:paraId="5521D380">
      <w:pPr>
        <w:keepNext w:val="0"/>
        <w:keepLines w:val="0"/>
        <w:pageBreakBefore w:val="0"/>
        <w:widowControl w:val="0"/>
        <w:tabs>
          <w:tab w:val="left" w:pos="0"/>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设备具有不少于2个RS-232接口、2个RS-485接口、1个USB3.0接口、2路报警输入接口、2路报警输出接口、1个音频输入接口、1个音频输出接口、4个SATA接口、4个状态指示灯、1个接地端子、1个复位按键、1个GPS天线接口、1个4G全网通天线接口；</w:t>
      </w:r>
    </w:p>
    <w:p w14:paraId="5626EA49">
      <w:pPr>
        <w:keepNext w:val="0"/>
        <w:keepLines w:val="0"/>
        <w:pageBreakBefore w:val="0"/>
        <w:widowControl w:val="0"/>
        <w:tabs>
          <w:tab w:val="left" w:pos="0"/>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最多可添加12路IP摄像机(单路码率10M)，进行录像与图片的实时预览和存储并可将IP摄像机的视频图像通过网络传输至客户端；</w:t>
      </w:r>
    </w:p>
    <w:p w14:paraId="3465C7EC">
      <w:pPr>
        <w:keepNext w:val="0"/>
        <w:keepLines w:val="0"/>
        <w:pageBreakBefore w:val="0"/>
        <w:widowControl w:val="0"/>
        <w:tabs>
          <w:tab w:val="left" w:pos="0"/>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支持4块3.5或2.5英寸硬盘接入，最大兼容6TB硬盘，设备至少内置1块4T硬盘；</w:t>
      </w:r>
    </w:p>
    <w:p w14:paraId="08B5F5C3">
      <w:pPr>
        <w:keepNext w:val="0"/>
        <w:keepLines w:val="0"/>
        <w:pageBreakBefore w:val="0"/>
        <w:widowControl w:val="0"/>
        <w:tabs>
          <w:tab w:val="left" w:pos="0"/>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可显示系统已运行时间、主板温度、终端运行状态；</w:t>
      </w:r>
    </w:p>
    <w:p w14:paraId="4A3EC537">
      <w:pPr>
        <w:keepNext w:val="0"/>
        <w:keepLines w:val="0"/>
        <w:pageBreakBefore w:val="0"/>
        <w:widowControl w:val="0"/>
        <w:tabs>
          <w:tab w:val="left" w:pos="0"/>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可通过USB外接存储介质进行数据备份，备份数据类型、存储目录及文件命名可配置；</w:t>
      </w:r>
    </w:p>
    <w:p w14:paraId="13B3CBC0">
      <w:pPr>
        <w:keepNext w:val="0"/>
        <w:keepLines w:val="0"/>
        <w:pageBreakBefore w:val="0"/>
        <w:widowControl w:val="0"/>
        <w:tabs>
          <w:tab w:val="left" w:pos="0"/>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支持对视频进行质量诊断并输出报警信息；</w:t>
      </w:r>
    </w:p>
    <w:p w14:paraId="1575F0C7">
      <w:pPr>
        <w:keepNext w:val="0"/>
        <w:keepLines w:val="0"/>
        <w:pageBreakBefore w:val="0"/>
        <w:widowControl w:val="0"/>
        <w:tabs>
          <w:tab w:val="left" w:pos="0"/>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可通过长按复位键恢复系统的出厂默认参数；</w:t>
      </w:r>
    </w:p>
    <w:p w14:paraId="2BE59BC7">
      <w:pPr>
        <w:keepNext w:val="0"/>
        <w:keepLines w:val="0"/>
        <w:pageBreakBefore w:val="0"/>
        <w:widowControl w:val="0"/>
        <w:tabs>
          <w:tab w:val="left" w:pos="0"/>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工作温度-40℃～70℃、工作湿度10%～90%；</w:t>
      </w:r>
    </w:p>
    <w:p w14:paraId="59029331">
      <w:pPr>
        <w:keepNext w:val="0"/>
        <w:keepLines w:val="0"/>
        <w:pageBreakBefore w:val="0"/>
        <w:widowControl w:val="0"/>
        <w:tabs>
          <w:tab w:val="left" w:pos="0"/>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为保证卡口抓拍系统运行稳定性，所投终端服务器设备需与卡口抓拍单元相匹配，满足实际应用效果。</w:t>
      </w:r>
    </w:p>
    <w:p w14:paraId="5DF09A38">
      <w:pPr>
        <w:keepNext/>
        <w:pageBreakBefore w:val="0"/>
        <w:widowControl w:val="0"/>
        <w:kinsoku/>
        <w:wordWrap/>
        <w:overflowPunct/>
        <w:topLinePunct w:val="0"/>
        <w:autoSpaceDE/>
        <w:autoSpaceDN/>
        <w:bidi w:val="0"/>
        <w:adjustRightInd/>
        <w:snapToGrid w:val="0"/>
        <w:spacing w:line="440" w:lineRule="exact"/>
        <w:ind w:firstLine="482" w:firstLineChars="200"/>
        <w:jc w:val="left"/>
        <w:textAlignment w:val="auto"/>
        <w:outlineLvl w:val="3"/>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3.5.16抱杆机箱</w:t>
      </w:r>
    </w:p>
    <w:p w14:paraId="2C7B64B0">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体规格尺寸：高530*宽400*深250MM，板材厚度≥1.2MM；柜体采用防晒、隔热顶盖；采取导流槽、胶垫等密封措施，防止雨雪、水和萤虫进入柜体内部。外壳密封性能符合 GB/T 4208 的规定，柜门采用静音轴承合叶铰链。柜体电源接线端子与机柜之间的绝缘电阻在正常状态下不小于 100MΩ，在 20℃相对湿度 5%RH～95%RH 状态下不小于 2MΩ。门需要做加强筋固定，保证箱体的防撬、防盗，机箱内部设计强弱电分离线槽，确保线路安全。</w:t>
      </w:r>
    </w:p>
    <w:p w14:paraId="14D284F0">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电子式自动重合闸保护器；额定电流；10-16A可选；漏流动作电流；30mA；漏电不动作电流；15mA漏流动作时间：≤0.1s合闸前具有检测功能。具备过流短路保护、欠压/过压保护、漏电保护、故障记忆、合闸前检测、自动重控制功能。</w:t>
      </w:r>
    </w:p>
    <w:p w14:paraId="6B42AC39">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外壳防护等级符合IP65；工作温度-55°~ +85°设备可正常工作；设备具有盐雾告警功能且通过盐雾检测，盐雾环境：浓度：（5±0.1)%,温度：（35±2）℃；喷雾时间：每隔45min喷雾15min,共96h；盐雾沉降量：1.0ml/h.80cm²-2.0ml/h.80cm²，试验后样板表面无黄斑且不生锈。</w:t>
      </w:r>
    </w:p>
    <w:p w14:paraId="0AF14AFA">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bidi="ar-SA"/>
        </w:rPr>
        <w:t xml:space="preserve">箱体具备交流 220V 电源防雷和网络接口防雷两种防雷功能，标配 1 路交流电源防雷器交流电源防雷：Uc:385VAC 、In:20kA、Imax:40kA、Up: ≤1.7KV；内置1个32A空开，不少于5个五口国标插座，一个温控风扇。 </w:t>
      </w:r>
    </w:p>
    <w:p w14:paraId="1ED88C6B">
      <w:pPr>
        <w:keepNext/>
        <w:pageBreakBefore w:val="0"/>
        <w:widowControl w:val="0"/>
        <w:kinsoku/>
        <w:wordWrap/>
        <w:overflowPunct/>
        <w:topLinePunct w:val="0"/>
        <w:autoSpaceDE/>
        <w:autoSpaceDN/>
        <w:bidi w:val="0"/>
        <w:adjustRightInd/>
        <w:snapToGrid w:val="0"/>
        <w:spacing w:line="440" w:lineRule="exact"/>
        <w:ind w:firstLine="482" w:firstLineChars="200"/>
        <w:jc w:val="left"/>
        <w:textAlignment w:val="auto"/>
        <w:outlineLvl w:val="3"/>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3.5.17落地机柜</w:t>
      </w:r>
    </w:p>
    <w:p w14:paraId="37CFCD0A">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箱体采用热镀锌板材质，板材厚度≥1.5mm，箱体 尺寸：高度（≥1200mm)、宽度（≥650mm)、深度（≥550mm）, 底座不低于100mm高度，两侧开百叶窗通风口配防虫网保护，箱体喷防腐蚀防锈漆，内部标准19英寸机架式设计，前后双开门方式，箱门设计天地锁防撬功能；</w:t>
      </w:r>
    </w:p>
    <w:p w14:paraId="39F9B88C">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电子式自动重合闸保护器；额定电流32A；漏流动作电流；30mA；漏电不动作电流；15mA漏流动作时间：≤0.1s合闸前具有检测功能。具备过流短路保护、欠压/过压保护、漏电保护、故障记忆、合闸前检测、自动重控制功能。</w:t>
      </w:r>
    </w:p>
    <w:p w14:paraId="3C29AA60">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外壳防护等级符合IP65；工作温度-55°~ +85°设备可正常工作；设备具有盐雾告警功能且通过盐雾检测，盐雾环境：浓度：（5±0.1)%,温度：（35±2）℃；喷雾时间：每隔45min喷雾15min,共96h；盐雾沉降量：1.0ml/h.80cm²-2.0ml/h.80cm²，试验后样板表面无黄斑且不生锈。</w:t>
      </w:r>
    </w:p>
    <w:p w14:paraId="257A04B6">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箱体具备交流 220V 电源防雷和网络接口防雷两种防雷功能，标配 1 路交流电源防雷器交流电源防雷：Uc:385VAC 、In:20kA、Imax:40kA、Up: ≤1.7KV；</w:t>
      </w:r>
    </w:p>
    <w:p w14:paraId="551379CE">
      <w:pPr>
        <w:pageBreakBefore w:val="0"/>
        <w:tabs>
          <w:tab w:val="left" w:pos="0"/>
        </w:tabs>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配装1个63A空开、4个32A空开、2个温控风扇、不少于10个5口国标插座、1个电源引入防雷模块，可根据实际情况增加配置，满足使用需求；箱体侧面需要配置一个直流指示灯，电源异常时能清晰辨别市电故障。</w:t>
      </w:r>
    </w:p>
    <w:p w14:paraId="6293014D">
      <w:pPr>
        <w:keepNext/>
        <w:pageBreakBefore w:val="0"/>
        <w:widowControl w:val="0"/>
        <w:kinsoku/>
        <w:wordWrap/>
        <w:overflowPunct/>
        <w:topLinePunct w:val="0"/>
        <w:autoSpaceDE/>
        <w:autoSpaceDN/>
        <w:bidi w:val="0"/>
        <w:adjustRightInd/>
        <w:snapToGrid w:val="0"/>
        <w:spacing w:line="440" w:lineRule="exact"/>
        <w:ind w:firstLine="482" w:firstLineChars="200"/>
        <w:jc w:val="left"/>
        <w:textAlignment w:val="auto"/>
        <w:outlineLvl w:val="3"/>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3.5.18数据收集设备1</w:t>
      </w:r>
    </w:p>
    <w:tbl>
      <w:tblPr>
        <w:tblStyle w:val="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9"/>
        <w:gridCol w:w="7619"/>
      </w:tblGrid>
      <w:tr w14:paraId="5E9CB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51CA639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名称</w:t>
            </w:r>
          </w:p>
        </w:tc>
        <w:tc>
          <w:tcPr>
            <w:tcW w:w="3825" w:type="pct"/>
            <w:vAlign w:val="center"/>
          </w:tcPr>
          <w:p w14:paraId="721B550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主要技术参数及要求</w:t>
            </w:r>
          </w:p>
        </w:tc>
      </w:tr>
      <w:tr w14:paraId="76ACD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3BA808D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机器特性</w:t>
            </w:r>
          </w:p>
        </w:tc>
        <w:tc>
          <w:tcPr>
            <w:tcW w:w="3825" w:type="pct"/>
            <w:vAlign w:val="center"/>
          </w:tcPr>
          <w:p w14:paraId="7655649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ADF（自动送纸器）双面+手动送纸</w:t>
            </w:r>
          </w:p>
        </w:tc>
      </w:tr>
      <w:tr w14:paraId="71096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65C4E5C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ADF容量</w:t>
            </w:r>
          </w:p>
        </w:tc>
        <w:tc>
          <w:tcPr>
            <w:tcW w:w="3825" w:type="pct"/>
            <w:vAlign w:val="center"/>
          </w:tcPr>
          <w:p w14:paraId="09FD4634">
            <w:pPr>
              <w:pStyle w:val="2"/>
              <w:keepNext w:val="0"/>
              <w:keepLines w:val="0"/>
              <w:pageBreakBefore w:val="0"/>
              <w:widowControl w:val="0"/>
              <w:shd w:val="clear" w:color="auto" w:fill="FFFFFF"/>
              <w:kinsoku/>
              <w:wordWrap/>
              <w:overflowPunct/>
              <w:topLinePunct w:val="0"/>
              <w:autoSpaceDE/>
              <w:autoSpaceDN/>
              <w:bidi w:val="0"/>
              <w:adjustRightInd/>
              <w:snapToGrid/>
              <w:spacing w:before="0" w:after="0" w:line="240" w:lineRule="auto"/>
              <w:jc w:val="left"/>
              <w:textAlignment w:val="auto"/>
              <w:rPr>
                <w:rFonts w:hint="eastAsia" w:ascii="宋体" w:hAnsi="宋体" w:eastAsia="宋体" w:cs="宋体"/>
                <w:b w:val="0"/>
                <w:bCs w:val="0"/>
                <w:color w:val="auto"/>
                <w:kern w:val="36"/>
                <w:sz w:val="24"/>
                <w:szCs w:val="24"/>
              </w:rPr>
            </w:pPr>
            <w:r>
              <w:rPr>
                <w:rFonts w:hint="eastAsia" w:ascii="宋体" w:hAnsi="宋体" w:eastAsia="宋体" w:cs="宋体"/>
                <w:b w:val="0"/>
                <w:color w:val="auto"/>
                <w:sz w:val="24"/>
                <w:szCs w:val="24"/>
              </w:rPr>
              <w:t>300张（A4：80g/</w:t>
            </w:r>
            <w:r>
              <w:rPr>
                <w:rFonts w:hint="eastAsia" w:ascii="宋体" w:hAnsi="宋体" w:eastAsia="宋体" w:cs="宋体"/>
                <w:b w:val="0"/>
                <w:bCs w:val="0"/>
                <w:color w:val="auto"/>
                <w:sz w:val="24"/>
                <w:szCs w:val="24"/>
              </w:rPr>
              <w:t>㎡</w:t>
            </w:r>
            <w:r>
              <w:rPr>
                <w:rFonts w:hint="eastAsia" w:ascii="宋体" w:hAnsi="宋体" w:eastAsia="宋体" w:cs="宋体"/>
                <w:b w:val="0"/>
                <w:color w:val="auto"/>
                <w:sz w:val="24"/>
                <w:szCs w:val="24"/>
              </w:rPr>
              <w:t>）</w:t>
            </w:r>
          </w:p>
        </w:tc>
      </w:tr>
      <w:tr w14:paraId="26B1A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366DBCF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面板操作</w:t>
            </w:r>
          </w:p>
        </w:tc>
        <w:tc>
          <w:tcPr>
            <w:tcW w:w="3825" w:type="pct"/>
            <w:vAlign w:val="center"/>
          </w:tcPr>
          <w:p w14:paraId="4DB5B049">
            <w:pPr>
              <w:pStyle w:val="2"/>
              <w:keepNext w:val="0"/>
              <w:keepLines w:val="0"/>
              <w:pageBreakBefore w:val="0"/>
              <w:widowControl w:val="0"/>
              <w:shd w:val="clear" w:color="auto" w:fill="FFFFFF"/>
              <w:kinsoku/>
              <w:wordWrap/>
              <w:overflowPunct/>
              <w:topLinePunct w:val="0"/>
              <w:autoSpaceDE/>
              <w:autoSpaceDN/>
              <w:bidi w:val="0"/>
              <w:adjustRightInd/>
              <w:snapToGrid/>
              <w:spacing w:before="0" w:after="0" w:line="240" w:lineRule="auto"/>
              <w:jc w:val="left"/>
              <w:textAlignment w:val="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机身两侧配备LCD液晶面板</w:t>
            </w:r>
          </w:p>
        </w:tc>
      </w:tr>
      <w:tr w14:paraId="36ADD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0481831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扫描速度</w:t>
            </w:r>
          </w:p>
        </w:tc>
        <w:tc>
          <w:tcPr>
            <w:tcW w:w="3825" w:type="pct"/>
            <w:vAlign w:val="center"/>
          </w:tcPr>
          <w:p w14:paraId="2EE83A7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黑白/灰阶/彩色：200 和 300 dpi 时最高可达每分钟 </w:t>
            </w:r>
            <w:r>
              <w:rPr>
                <w:rFonts w:hint="eastAsia" w:ascii="宋体" w:hAnsi="宋体" w:eastAsia="宋体" w:cs="宋体"/>
                <w:color w:val="auto"/>
                <w:sz w:val="24"/>
                <w:szCs w:val="24"/>
                <w:lang w:val="en-US" w:eastAsia="zh-CN"/>
              </w:rPr>
              <w:t>105</w:t>
            </w:r>
            <w:r>
              <w:rPr>
                <w:rFonts w:hint="eastAsia" w:ascii="宋体" w:hAnsi="宋体" w:eastAsia="宋体" w:cs="宋体"/>
                <w:color w:val="auto"/>
                <w:sz w:val="24"/>
                <w:szCs w:val="24"/>
              </w:rPr>
              <w:t>页/</w:t>
            </w:r>
            <w:r>
              <w:rPr>
                <w:rFonts w:hint="eastAsia" w:ascii="宋体" w:hAnsi="宋体" w:eastAsia="宋体" w:cs="宋体"/>
                <w:color w:val="auto"/>
                <w:sz w:val="24"/>
                <w:szCs w:val="24"/>
                <w:lang w:val="en-US" w:eastAsia="zh-CN"/>
              </w:rPr>
              <w:t>210</w:t>
            </w:r>
            <w:r>
              <w:rPr>
                <w:rFonts w:hint="eastAsia" w:ascii="宋体" w:hAnsi="宋体" w:eastAsia="宋体" w:cs="宋体"/>
                <w:color w:val="auto"/>
                <w:sz w:val="24"/>
                <w:szCs w:val="24"/>
              </w:rPr>
              <w:t>个影像；</w:t>
            </w:r>
          </w:p>
        </w:tc>
      </w:tr>
      <w:tr w14:paraId="74D53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368A12F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扫描技术</w:t>
            </w:r>
          </w:p>
        </w:tc>
        <w:tc>
          <w:tcPr>
            <w:tcW w:w="3825" w:type="pct"/>
            <w:vAlign w:val="center"/>
          </w:tcPr>
          <w:p w14:paraId="0D8B564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彩色CCD x2（前x1，后x1）</w:t>
            </w:r>
          </w:p>
          <w:p w14:paraId="04E9687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彩色：24位、灰度：8位、黑白：1位</w:t>
            </w:r>
          </w:p>
        </w:tc>
      </w:tr>
      <w:tr w14:paraId="2538B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34037F9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光学分辨率</w:t>
            </w:r>
          </w:p>
        </w:tc>
        <w:tc>
          <w:tcPr>
            <w:tcW w:w="3825" w:type="pct"/>
            <w:vAlign w:val="center"/>
          </w:tcPr>
          <w:p w14:paraId="51C97E3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600dpi</w:t>
            </w:r>
          </w:p>
        </w:tc>
      </w:tr>
      <w:tr w14:paraId="10932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0FAA7A6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照明</w:t>
            </w:r>
          </w:p>
        </w:tc>
        <w:tc>
          <w:tcPr>
            <w:tcW w:w="3825" w:type="pct"/>
            <w:vAlign w:val="center"/>
          </w:tcPr>
          <w:p w14:paraId="68C99CB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白色LED灯组x4（前x2，后x2）</w:t>
            </w:r>
          </w:p>
        </w:tc>
      </w:tr>
      <w:tr w14:paraId="76F76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6F4F797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输出分辨率</w:t>
            </w:r>
          </w:p>
        </w:tc>
        <w:tc>
          <w:tcPr>
            <w:tcW w:w="3825" w:type="pct"/>
            <w:vAlign w:val="center"/>
          </w:tcPr>
          <w:p w14:paraId="68C7094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50－600dpi（以1dpi为单位进行调整）</w:t>
            </w:r>
          </w:p>
          <w:p w14:paraId="16F8BAB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1200dpi（驱动）</w:t>
            </w:r>
          </w:p>
        </w:tc>
      </w:tr>
      <w:tr w14:paraId="4F04D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08247EA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背景着色</w:t>
            </w:r>
          </w:p>
        </w:tc>
        <w:tc>
          <w:tcPr>
            <w:tcW w:w="3825" w:type="pct"/>
            <w:vAlign w:val="center"/>
          </w:tcPr>
          <w:p w14:paraId="6F32CD9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白/黑（可选）； </w:t>
            </w:r>
          </w:p>
        </w:tc>
      </w:tr>
      <w:tr w14:paraId="7DED3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71AFD3D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最大文档尺寸</w:t>
            </w:r>
          </w:p>
        </w:tc>
        <w:tc>
          <w:tcPr>
            <w:tcW w:w="3825" w:type="pct"/>
            <w:vAlign w:val="center"/>
          </w:tcPr>
          <w:p w14:paraId="4CCDD66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304.8 x431.8mm（12英寸 x 17英寸）</w:t>
            </w:r>
          </w:p>
        </w:tc>
      </w:tr>
      <w:tr w14:paraId="795FD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70B9D03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长文档模式长度</w:t>
            </w:r>
          </w:p>
        </w:tc>
        <w:tc>
          <w:tcPr>
            <w:tcW w:w="3825" w:type="pct"/>
            <w:vAlign w:val="center"/>
          </w:tcPr>
          <w:p w14:paraId="00207AD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长达5588mm</w:t>
            </w:r>
          </w:p>
        </w:tc>
      </w:tr>
      <w:tr w14:paraId="0868F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669FE1D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最小文档尺寸</w:t>
            </w:r>
          </w:p>
        </w:tc>
        <w:tc>
          <w:tcPr>
            <w:tcW w:w="3825" w:type="pct"/>
            <w:vAlign w:val="center"/>
          </w:tcPr>
          <w:p w14:paraId="361F78F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520.8x69mm </w:t>
            </w:r>
          </w:p>
        </w:tc>
      </w:tr>
      <w:tr w14:paraId="6784A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5B69ED4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纸重量（厚度）</w:t>
            </w:r>
          </w:p>
          <w:p w14:paraId="576604B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纸张</w:t>
            </w:r>
          </w:p>
          <w:p w14:paraId="56B9633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塑料卡片</w:t>
            </w:r>
          </w:p>
        </w:tc>
        <w:tc>
          <w:tcPr>
            <w:tcW w:w="3825" w:type="pct"/>
            <w:vAlign w:val="center"/>
          </w:tcPr>
          <w:p w14:paraId="5FBFB46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20to413g/</w:t>
            </w:r>
            <w:r>
              <w:rPr>
                <w:rFonts w:hint="eastAsia" w:ascii="宋体" w:hAnsi="宋体" w:eastAsia="宋体" w:cs="宋体"/>
                <w:bCs/>
                <w:color w:val="auto"/>
                <w:sz w:val="24"/>
                <w:szCs w:val="24"/>
              </w:rPr>
              <w:t>㎡（5.3to110lb）；A8:128</w:t>
            </w:r>
            <w:r>
              <w:rPr>
                <w:rFonts w:hint="eastAsia" w:ascii="宋体" w:hAnsi="宋体" w:eastAsia="宋体" w:cs="宋体"/>
                <w:color w:val="auto"/>
                <w:sz w:val="24"/>
                <w:szCs w:val="24"/>
              </w:rPr>
              <w:t>to209g/</w:t>
            </w:r>
            <w:r>
              <w:rPr>
                <w:rFonts w:hint="eastAsia" w:ascii="宋体" w:hAnsi="宋体" w:eastAsia="宋体" w:cs="宋体"/>
                <w:bCs/>
                <w:color w:val="auto"/>
                <w:sz w:val="24"/>
                <w:szCs w:val="24"/>
              </w:rPr>
              <w:t xml:space="preserve">㎡（34to56lb）； </w:t>
            </w:r>
          </w:p>
          <w:p w14:paraId="57D3117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1.4mm或更小</w:t>
            </w:r>
          </w:p>
        </w:tc>
      </w:tr>
      <w:tr w14:paraId="14CF4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3BED512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纸张路径</w:t>
            </w:r>
          </w:p>
        </w:tc>
        <w:tc>
          <w:tcPr>
            <w:tcW w:w="3825" w:type="pct"/>
            <w:vAlign w:val="center"/>
          </w:tcPr>
          <w:p w14:paraId="5EF962D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直走纸通道</w:t>
            </w:r>
          </w:p>
        </w:tc>
      </w:tr>
      <w:tr w14:paraId="4829D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11EC545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重张检测</w:t>
            </w:r>
          </w:p>
        </w:tc>
        <w:tc>
          <w:tcPr>
            <w:tcW w:w="3825" w:type="pct"/>
            <w:vAlign w:val="center"/>
          </w:tcPr>
          <w:p w14:paraId="7B408CD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超声波传感器</w:t>
            </w:r>
          </w:p>
        </w:tc>
      </w:tr>
      <w:tr w14:paraId="065FB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35D85F8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纸张图片处理技术</w:t>
            </w:r>
          </w:p>
        </w:tc>
        <w:tc>
          <w:tcPr>
            <w:tcW w:w="3825" w:type="pct"/>
            <w:vAlign w:val="center"/>
          </w:tcPr>
          <w:p w14:paraId="74EF64E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无需预先分拣，自动分辨原稿图像类型（彩色/黑白）扫描生成对应的彩色/黑白数据，有助于减少所生成图片文件的容量。</w:t>
            </w:r>
          </w:p>
        </w:tc>
      </w:tr>
      <w:tr w14:paraId="394E7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437B1F4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内部影像处理</w:t>
            </w:r>
          </w:p>
        </w:tc>
        <w:tc>
          <w:tcPr>
            <w:tcW w:w="3825" w:type="pct"/>
            <w:vAlign w:val="center"/>
          </w:tcPr>
          <w:p w14:paraId="6CE9F24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4096级（12位）</w:t>
            </w:r>
          </w:p>
        </w:tc>
      </w:tr>
      <w:tr w14:paraId="74D8C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2122644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输出格式</w:t>
            </w:r>
          </w:p>
        </w:tc>
        <w:tc>
          <w:tcPr>
            <w:tcW w:w="3825" w:type="pct"/>
            <w:vAlign w:val="center"/>
          </w:tcPr>
          <w:p w14:paraId="0F56CB1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在国产系统下支持</w:t>
            </w:r>
            <w:r>
              <w:rPr>
                <w:rFonts w:hint="eastAsia" w:ascii="宋体" w:hAnsi="宋体" w:eastAsia="宋体" w:cs="宋体"/>
                <w:color w:val="auto"/>
                <w:sz w:val="24"/>
                <w:szCs w:val="24"/>
              </w:rPr>
              <w:t>PDF，BMP，JPG，TIF,OFD，双层OFD，可检索PDF，支持FDF、OFD插页扫描</w:t>
            </w:r>
          </w:p>
        </w:tc>
      </w:tr>
      <w:tr w14:paraId="074CC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557C03E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连接</w:t>
            </w:r>
          </w:p>
        </w:tc>
        <w:tc>
          <w:tcPr>
            <w:tcW w:w="3825" w:type="pct"/>
            <w:vAlign w:val="center"/>
          </w:tcPr>
          <w:p w14:paraId="33F7CDB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USB 3.1 Gen/USB 3.0/USB 2.0</w:t>
            </w:r>
          </w:p>
        </w:tc>
      </w:tr>
      <w:tr w14:paraId="4878D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5631E08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软件支持</w:t>
            </w:r>
          </w:p>
        </w:tc>
        <w:tc>
          <w:tcPr>
            <w:tcW w:w="3825" w:type="pct"/>
            <w:vAlign w:val="center"/>
          </w:tcPr>
          <w:p w14:paraId="26608D6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扫描仪TWAIN Driver,ISIS Driver驱动程序,提供软件开发包，支持生成OFD格式并实现全文检索，加密：提供安全扫描仪功能控件接口，可以完成扫描图像自动加密。加密信息可以由用户自由定义。扫描的同时，将预定的签名信息用隐藏的方式嵌入到图像中，可对图像的出处、真伪、删改、在流转使用中是否被非法篡改进行鉴别，确保图像信息安全可控；ocr支持需要支持跨平台操作系统，WINDOWS及国产操作系统及相应的国产CPU ；可以与应用软件配合输出双层OFD，便于检索及编辑，提供相应的软件接口及开发包 ；识别速度不高于1.5秒（A4纸张500字） ，ocr引擎不超过30M 。</w:t>
            </w:r>
          </w:p>
        </w:tc>
      </w:tr>
      <w:tr w14:paraId="76773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63FA9C5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影像处理功能</w:t>
            </w:r>
          </w:p>
        </w:tc>
        <w:tc>
          <w:tcPr>
            <w:tcW w:w="3825" w:type="pct"/>
            <w:vAlign w:val="center"/>
          </w:tcPr>
          <w:p w14:paraId="45FAC8F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智能影像扫描功能:完成影像的歪斜校正、原稿尺寸裁剪、 去底色、滤色功能、阅读页面自动旋转、去白页、可识别一 维及二维条形码、去除装订孔、加边框、边缘修复、去除噪点等功能。扫描背景 可同时得到扫描稿件的黑白、灰度、彩色三种影像流输出</w:t>
            </w:r>
          </w:p>
        </w:tc>
      </w:tr>
      <w:tr w14:paraId="4BE6D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1A641D0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电力需求</w:t>
            </w:r>
          </w:p>
        </w:tc>
        <w:tc>
          <w:tcPr>
            <w:tcW w:w="3825" w:type="pct"/>
            <w:vAlign w:val="center"/>
          </w:tcPr>
          <w:p w14:paraId="17751710">
            <w:pPr>
              <w:pStyle w:val="2"/>
              <w:keepNext w:val="0"/>
              <w:keepLines w:val="0"/>
              <w:pageBreakBefore w:val="0"/>
              <w:widowControl w:val="0"/>
              <w:shd w:val="clear" w:color="auto" w:fill="FFFFFF"/>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b w:val="0"/>
                <w:bCs w:val="0"/>
                <w:color w:val="auto"/>
                <w:kern w:val="36"/>
                <w:sz w:val="24"/>
                <w:szCs w:val="24"/>
              </w:rPr>
            </w:pPr>
            <w:r>
              <w:rPr>
                <w:rFonts w:hint="eastAsia" w:ascii="宋体" w:hAnsi="宋体" w:eastAsia="宋体" w:cs="宋体"/>
                <w:b w:val="0"/>
                <w:color w:val="auto"/>
                <w:sz w:val="24"/>
                <w:szCs w:val="24"/>
              </w:rPr>
              <w:t>100-240 伏（国际），</w:t>
            </w:r>
            <w:r>
              <w:rPr>
                <w:rFonts w:hint="eastAsia" w:ascii="宋体" w:hAnsi="宋体" w:eastAsia="宋体" w:cs="宋体"/>
                <w:b w:val="0"/>
                <w:bCs w:val="0"/>
                <w:color w:val="auto"/>
                <w:sz w:val="24"/>
                <w:szCs w:val="24"/>
              </w:rPr>
              <w:t>±10%</w:t>
            </w:r>
          </w:p>
        </w:tc>
      </w:tr>
      <w:tr w14:paraId="607BD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4ADF926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耗电量</w:t>
            </w:r>
          </w:p>
        </w:tc>
        <w:tc>
          <w:tcPr>
            <w:tcW w:w="3825" w:type="pct"/>
            <w:vAlign w:val="center"/>
          </w:tcPr>
          <w:p w14:paraId="4FBD406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工作模式：64W或更小</w:t>
            </w:r>
          </w:p>
          <w:p w14:paraId="232E576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休眠模式：1.7W或更小</w:t>
            </w:r>
          </w:p>
          <w:p w14:paraId="1A944B1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关闭：低于0.35W</w:t>
            </w:r>
          </w:p>
        </w:tc>
      </w:tr>
      <w:tr w14:paraId="61D38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248BF1E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操作环境</w:t>
            </w:r>
          </w:p>
        </w:tc>
        <w:tc>
          <w:tcPr>
            <w:tcW w:w="3825" w:type="pct"/>
            <w:vAlign w:val="center"/>
          </w:tcPr>
          <w:p w14:paraId="069806B8">
            <w:pPr>
              <w:pStyle w:val="2"/>
              <w:keepNext w:val="0"/>
              <w:keepLines w:val="0"/>
              <w:pageBreakBefore w:val="0"/>
              <w:widowControl w:val="0"/>
              <w:shd w:val="clear" w:color="auto" w:fill="FFFFFF"/>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b w:val="0"/>
                <w:bCs w:val="0"/>
                <w:color w:val="auto"/>
                <w:kern w:val="36"/>
                <w:sz w:val="24"/>
                <w:szCs w:val="24"/>
              </w:rPr>
            </w:pPr>
            <w:r>
              <w:rPr>
                <w:rFonts w:hint="eastAsia" w:ascii="宋体" w:hAnsi="宋体" w:eastAsia="宋体" w:cs="宋体"/>
                <w:b w:val="0"/>
                <w:color w:val="auto"/>
                <w:sz w:val="24"/>
                <w:szCs w:val="24"/>
              </w:rPr>
              <w:t>温度：5－35</w:t>
            </w:r>
            <w:r>
              <w:rPr>
                <w:rFonts w:hint="eastAsia" w:ascii="宋体" w:hAnsi="宋体" w:eastAsia="宋体" w:cs="宋体"/>
                <w:b w:val="0"/>
                <w:bCs w:val="0"/>
                <w:color w:val="auto"/>
                <w:sz w:val="24"/>
                <w:szCs w:val="24"/>
              </w:rPr>
              <w:t>℃</w:t>
            </w:r>
          </w:p>
          <w:p w14:paraId="05BA14F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相对湿度：20%－80%</w:t>
            </w:r>
          </w:p>
        </w:tc>
      </w:tr>
      <w:tr w14:paraId="304B0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08AE7DB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支持的操作系统支持的操作系统</w:t>
            </w:r>
          </w:p>
        </w:tc>
        <w:tc>
          <w:tcPr>
            <w:tcW w:w="3825" w:type="pct"/>
            <w:vAlign w:val="center"/>
          </w:tcPr>
          <w:p w14:paraId="241ACCB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支持国产操作系统</w:t>
            </w:r>
          </w:p>
        </w:tc>
      </w:tr>
      <w:tr w14:paraId="3858F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vAlign w:val="center"/>
          </w:tcPr>
          <w:p w14:paraId="5AE5FB1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尺寸</w:t>
            </w:r>
          </w:p>
        </w:tc>
        <w:tc>
          <w:tcPr>
            <w:tcW w:w="3825" w:type="pct"/>
            <w:vAlign w:val="center"/>
          </w:tcPr>
          <w:p w14:paraId="36332FD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重量：11公斤</w:t>
            </w:r>
          </w:p>
          <w:p w14:paraId="41E3505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236 x432x214mm</w:t>
            </w:r>
          </w:p>
        </w:tc>
      </w:tr>
      <w:tr w14:paraId="346C0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tcBorders>
              <w:top w:val="single" w:color="auto" w:sz="4" w:space="0"/>
              <w:left w:val="single" w:color="auto" w:sz="4" w:space="0"/>
              <w:bottom w:val="single" w:color="auto" w:sz="4" w:space="0"/>
              <w:right w:val="single" w:color="auto" w:sz="4" w:space="0"/>
            </w:tcBorders>
            <w:vAlign w:val="center"/>
          </w:tcPr>
          <w:p w14:paraId="6F16BA3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提供扫描控件</w:t>
            </w:r>
          </w:p>
        </w:tc>
        <w:tc>
          <w:tcPr>
            <w:tcW w:w="3825" w:type="pct"/>
            <w:tcBorders>
              <w:top w:val="single" w:color="auto" w:sz="4" w:space="0"/>
              <w:left w:val="single" w:color="auto" w:sz="4" w:space="0"/>
              <w:bottom w:val="single" w:color="auto" w:sz="4" w:space="0"/>
              <w:right w:val="single" w:color="auto" w:sz="4" w:space="0"/>
            </w:tcBorders>
            <w:vAlign w:val="center"/>
          </w:tcPr>
          <w:p w14:paraId="0A2E367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SDK开发包实现客户系统连接二次开发, 可以根据采购单位现有业务系统开发情况，提供硬件系统接口的二次开发技术支持，能保证采购单位业务系统能直接调用硬件设备。</w:t>
            </w:r>
          </w:p>
        </w:tc>
      </w:tr>
      <w:tr w14:paraId="08547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4" w:type="pct"/>
            <w:tcBorders>
              <w:top w:val="single" w:color="auto" w:sz="4" w:space="0"/>
              <w:left w:val="single" w:color="auto" w:sz="4" w:space="0"/>
              <w:bottom w:val="single" w:color="auto" w:sz="4" w:space="0"/>
              <w:right w:val="single" w:color="auto" w:sz="4" w:space="0"/>
            </w:tcBorders>
            <w:vAlign w:val="center"/>
          </w:tcPr>
          <w:p w14:paraId="7396088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其它要求</w:t>
            </w:r>
          </w:p>
        </w:tc>
        <w:tc>
          <w:tcPr>
            <w:tcW w:w="3825" w:type="pct"/>
            <w:tcBorders>
              <w:top w:val="single" w:color="auto" w:sz="4" w:space="0"/>
              <w:left w:val="single" w:color="auto" w:sz="4" w:space="0"/>
              <w:bottom w:val="single" w:color="auto" w:sz="4" w:space="0"/>
              <w:right w:val="single" w:color="auto" w:sz="4" w:space="0"/>
            </w:tcBorders>
            <w:vAlign w:val="center"/>
          </w:tcPr>
          <w:p w14:paraId="2D499AD2">
            <w:pPr>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投标产品品牌</w:t>
            </w:r>
            <w:r>
              <w:rPr>
                <w:rFonts w:hint="eastAsia" w:ascii="宋体" w:hAnsi="宋体" w:eastAsia="宋体" w:cs="宋体"/>
                <w:color w:val="auto"/>
                <w:sz w:val="24"/>
                <w:szCs w:val="24"/>
                <w:highlight w:val="none"/>
                <w:lang w:val="en-US" w:eastAsia="zh-CN"/>
              </w:rPr>
              <w:t>为国产品牌</w:t>
            </w:r>
          </w:p>
          <w:p w14:paraId="5B8C2E1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2、原厂承诺免费不少于三年内免费对接适配国产系统</w:t>
            </w:r>
          </w:p>
        </w:tc>
      </w:tr>
    </w:tbl>
    <w:p w14:paraId="2866A699">
      <w:pPr>
        <w:keepNext/>
        <w:keepLines w:val="0"/>
        <w:pageBreakBefore w:val="0"/>
        <w:widowControl w:val="0"/>
        <w:kinsoku/>
        <w:wordWrap/>
        <w:overflowPunct/>
        <w:topLinePunct w:val="0"/>
        <w:autoSpaceDE/>
        <w:autoSpaceDN/>
        <w:bidi w:val="0"/>
        <w:adjustRightInd/>
        <w:snapToGrid w:val="0"/>
        <w:spacing w:line="440" w:lineRule="exact"/>
        <w:ind w:firstLine="482" w:firstLineChars="200"/>
        <w:jc w:val="left"/>
        <w:textAlignment w:val="auto"/>
        <w:outlineLvl w:val="3"/>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3.5.19数据收集设备2</w:t>
      </w:r>
    </w:p>
    <w:p w14:paraId="5A574FCF">
      <w:pPr>
        <w:keepLines w:val="0"/>
        <w:pageBreakBefore w:val="0"/>
        <w:widowControl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国产优质</w:t>
      </w:r>
    </w:p>
    <w:p w14:paraId="1E1A2EBE">
      <w:pPr>
        <w:keepLines w:val="0"/>
        <w:pageBreakBefore w:val="0"/>
        <w:widowControl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液晶显示:标配2行中/英文显示屏</w:t>
      </w:r>
    </w:p>
    <w:p w14:paraId="6A734F23">
      <w:pPr>
        <w:keepLines w:val="0"/>
        <w:pageBreakBefore w:val="0"/>
        <w:widowControl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内存容量(标准):128MB</w:t>
      </w:r>
    </w:p>
    <w:p w14:paraId="54D0F4D6">
      <w:pPr>
        <w:keepLines w:val="0"/>
        <w:pageBreakBefore w:val="0"/>
        <w:widowControl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打印引擎:黑白激光</w:t>
      </w:r>
    </w:p>
    <w:p w14:paraId="7BB259D9">
      <w:pPr>
        <w:keepLines w:val="0"/>
        <w:pageBreakBefore w:val="0"/>
        <w:widowControl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分辨率:600x600 dpi</w:t>
      </w:r>
    </w:p>
    <w:p w14:paraId="4EE367EA">
      <w:pPr>
        <w:keepLines w:val="0"/>
        <w:pageBreakBefore w:val="0"/>
        <w:widowControl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扫描参数</w:t>
      </w:r>
    </w:p>
    <w:p w14:paraId="26DFD9F1">
      <w:pPr>
        <w:keepLines w:val="0"/>
        <w:pageBreakBefore w:val="0"/>
        <w:widowControl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扫描分辨率(插值):最高达19,200x19,200dpi</w:t>
      </w:r>
    </w:p>
    <w:p w14:paraId="38BF88B7">
      <w:pPr>
        <w:keepLines w:val="0"/>
        <w:pageBreakBefore w:val="0"/>
        <w:widowControl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扫描分辨率(光学):最佳1,200x1,200 dpi(平板扫描器)</w:t>
      </w:r>
    </w:p>
    <w:p w14:paraId="60AD3BDB">
      <w:pPr>
        <w:keepLines w:val="0"/>
        <w:pageBreakBefore w:val="0"/>
        <w:widowControl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扫描到:扫描到电子邮件，图像，0CR，文件</w:t>
      </w:r>
    </w:p>
    <w:p w14:paraId="425CF7F1">
      <w:pPr>
        <w:keepNext/>
        <w:keepLines w:val="0"/>
        <w:pageBreakBefore w:val="0"/>
        <w:widowControl w:val="0"/>
        <w:kinsoku/>
        <w:wordWrap/>
        <w:overflowPunct/>
        <w:topLinePunct w:val="0"/>
        <w:autoSpaceDE/>
        <w:autoSpaceDN/>
        <w:bidi w:val="0"/>
        <w:adjustRightInd/>
        <w:snapToGrid w:val="0"/>
        <w:spacing w:line="440" w:lineRule="exact"/>
        <w:ind w:firstLine="482" w:firstLineChars="200"/>
        <w:jc w:val="left"/>
        <w:textAlignment w:val="auto"/>
        <w:outlineLvl w:val="3"/>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3.5.20车辆全属性解析算法</w:t>
      </w:r>
    </w:p>
    <w:p w14:paraId="46E6109D">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1、支持对抓拍到的车辆图片进行结构化信息提取、车辆建模等二次分析；支持对车辆类型、车辆颜色、车牌号码等车辆属性进行识别；</w:t>
      </w:r>
    </w:p>
    <w:p w14:paraId="7ACD75C0">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2、支持对车辆图片进行特征搜车，上传车辆的图片并选定特征区域，比对后可输出达到设定相似度的过车图片；</w:t>
      </w:r>
    </w:p>
    <w:p w14:paraId="34E63BD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★3、车辆图片处理速度不低于1.8万张/min，人体图片处理速度不低于3.0万张/min，活动目标处理速度不低于2.4万张/min；（提供具有CMA标志的由国家权威检测机构出具的检测报告证明复印件并加盖投标人公章）</w:t>
      </w:r>
    </w:p>
    <w:p w14:paraId="2502146D">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4、支持图片中车辆内挂件、临时车牌、车辆天窗站人、副驾驶怀抱婴幼儿、渣土车是否盖板、是否有行李架、前排纸巾盒、车身是否喷字、车辆标贴、背向车辆等进行检测识别；</w:t>
      </w:r>
    </w:p>
    <w:p w14:paraId="6344560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5、支持轿车、越野车、商务车、小型货车、大型货车、轻客、小型客车、大型客车、二轮车、三轮车、微面、皮卡、挂车、混凝土搅拌车、罐车、随车吊、消防车、渣土车、押运车、工程抢修车、救援车、栏板卡车、危化品车等不少于23种车辆类别的识别；</w:t>
      </w:r>
    </w:p>
    <w:p w14:paraId="272C56F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6、支持实时对车辆号牌进行识别；支持对车辆型号进行识别，识别结果包括品牌、型号、年款信息；支持主、副驾驶未系安全带、打电话、抽烟等行为的识别；</w:t>
      </w:r>
    </w:p>
    <w:p w14:paraId="72946C9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7、白天光照正常、夜间补光正常、车辆特征可辨识的情况下，车头方向支持不少于6000种车辆子品牌及年款的识别，车尾方向支持不少于4400种车辆子品牌及年款的识别；支持图片中的渣土车、危险品车、黄标车等特殊车辆检测识别，车辆内挂件的检测识别，车辆天窗站人检测识别，副驾驶怀抱婴幼儿检测识别，车辆前排纸巾盒的测识别，车辆车身是否喷字的检测识别，车辆是否有行李架的检测识别等特征识别；（提供具有CMA标志的由国家权威检测机构出具的检测报告证明复印件并加盖投标人公章）</w:t>
      </w:r>
    </w:p>
    <w:p w14:paraId="77D04EB0">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8、支持黑、白、蓝、黄、绿、新能源黄绿6种车牌颜色的识别，车牌颜色识别白天（光线正常）准确率不低于99%；夜晚（补光正常）准确率不低于99%；</w:t>
      </w:r>
    </w:p>
    <w:p w14:paraId="1A44046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9、支持对图片中副驾驶未系安全带检测识别，光线正常，副驾驶未系安全带检测准确率不低于99%；</w:t>
      </w:r>
    </w:p>
    <w:p w14:paraId="04E50D9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10、支持识别车辆结构（包含车架、大灯、尾灯、引擎盖等）；</w:t>
      </w:r>
    </w:p>
    <w:p w14:paraId="2AE6093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11、支持卡口(车头)、电警(车尾)两种分析模式。</w:t>
      </w:r>
    </w:p>
    <w:p w14:paraId="2DA49770">
      <w:pPr>
        <w:keepNext/>
        <w:pageBreakBefore w:val="0"/>
        <w:widowControl w:val="0"/>
        <w:kinsoku/>
        <w:wordWrap/>
        <w:overflowPunct/>
        <w:topLinePunct w:val="0"/>
        <w:autoSpaceDE/>
        <w:autoSpaceDN/>
        <w:bidi w:val="0"/>
        <w:snapToGrid w:val="0"/>
        <w:spacing w:line="440" w:lineRule="exact"/>
        <w:ind w:firstLine="482" w:firstLineChars="200"/>
        <w:jc w:val="left"/>
        <w:outlineLvl w:val="3"/>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3.5.21人脸授权</w:t>
      </w:r>
    </w:p>
    <w:p w14:paraId="13577020">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人脸解析：</w:t>
      </w:r>
    </w:p>
    <w:p w14:paraId="4830E4AC">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1、图片流人脸解析，对图片进行人脸识别、特征提取、属性提取，将解析后的特征及属性通过消息队列推送给时空库及布控库。支持布控特征库创建，如在逃人员布控库等</w:t>
      </w:r>
    </w:p>
    <w:p w14:paraId="255211D1">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支持属性识别类别包括性别（男、女）、帽子款式（无帽子、雷锋帽、其他帽子）、眼镜款式（无眼镜、太阳镜、透明色）、胡型（无胡子、一字胡、山羊胡）、年龄段（老年人、成年人、儿童）、头盔（有、无）、口罩位置（正常佩戴、露出鼻孔、露出嘴巴、未戴口罩）、刘海（有、无）、耳机款式（无耳机、头戴式耳机、其他耳机）等。</w:t>
      </w:r>
    </w:p>
    <w:p w14:paraId="108F5490">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3、支持对30×30像素～10000×10000像素的人脸图片检测解析。</w:t>
      </w:r>
    </w:p>
    <w:p w14:paraId="0FBB1D47">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4、人脸可检测抓拍角度：支持抓拍的人脸姿态：水平转动角范围：-75˚~+75˚俯仰角范围：-60˚~+60˚倾斜角范围：-60˚~+60˚。</w:t>
      </w:r>
    </w:p>
    <w:p w14:paraId="4F451142">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5、人脸可比对识别角度：支持识别的人脸姿态：水平转动角范围：-75˚~+75˚ 俯仰角范围：-45˚~+45˚ 倾斜角范围：-60˚~+60˚。</w:t>
      </w:r>
    </w:p>
    <w:p w14:paraId="0306CE51">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★6、支持对水平转动角度不超过-75°~+75°、俯仰角不超过-45°~+45°、倾斜角不超过-60°~+60°的体图片进行人脸性别识别。（提供国家权威机构出具的检测报告证明并加盖投标人公章）</w:t>
      </w:r>
    </w:p>
    <w:p w14:paraId="406D31EF">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7、人脸戴口罩位置（正常佩戴、露出鼻孔、露出嘴巴、未戴口罩）分析准确率≥99%。</w:t>
      </w:r>
    </w:p>
    <w:p w14:paraId="337A4339">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8、支持人脸戴墨镜检出率≥99%，识别准确率≥99%。</w:t>
      </w:r>
    </w:p>
    <w:p w14:paraId="0A97F3E7">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9、人脸戴眼镜款式（无眼镜、太阳镜、透明色）分析准确率≥99%。</w:t>
      </w:r>
    </w:p>
    <w:p w14:paraId="6223812B">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10、支持识别微笑、眉毛遮挡、戴黑框眼镜、戴墨镜、闭眼状态的人脸图片，识别率≥99.9%，公式：识别率=正检/图片总数量×100%。</w:t>
      </w:r>
    </w:p>
    <w:p w14:paraId="785B1E2B">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11、千万级人脸图片入库成功率&gt;99.99%。</w:t>
      </w:r>
    </w:p>
    <w:p w14:paraId="44886608">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12、80亿人脸抓拍库规模下，上传人脸图片进行以图搜图轨迹检索，平均响应时间&lt;1s。</w:t>
      </w:r>
    </w:p>
    <w:p w14:paraId="3E8976F9">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13、支持单GPU卡人脸图片解析（提取人脸特征、属性）速度不低于340张/秒。</w:t>
      </w:r>
    </w:p>
    <w:p w14:paraId="08CB046C">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14、亿级人脸库规模下，以脸搜脸首位命中率不低于 99%;前五位命中率不低于99.5%;前十位命中率不低于99.9%。</w:t>
      </w:r>
    </w:p>
    <w:p w14:paraId="7BCC908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15、在 100万动态布控库容下，单GPU卡人脸特征布控比对并发处理能力&gt;2500 次/秒。</w:t>
      </w:r>
    </w:p>
    <w:p w14:paraId="5AC1B48E">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人脸聚档：</w:t>
      </w:r>
    </w:p>
    <w:p w14:paraId="5C09A76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1、建设人脸图片归档，支持将人脸时空库中达到一定相似度的特征（可理解为同一人的特征）建立关联，形成一个未实名的人档数据，未实名的人档数据再可通过后面的档案置信服务形成实名人档</w:t>
      </w:r>
    </w:p>
    <w:p w14:paraId="1A100F1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2、支持对当前人脸时空特征库所有特征进行聚类分析，将达到相似度阈值的人像数据标注为一个人档，全量聚类根据分析结果形成多个人档数据</w:t>
      </w:r>
    </w:p>
    <w:p w14:paraId="149A35C9">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支持对新增的特征进行聚类，首先与已形成的人档数据比较，达到相似度阀值则归档到已有的人档，否则进入未归档特征，定时再启动聚类分析，形成新的人档。初次聚类为全量聚类分析，后续都采用增量聚类分析</w:t>
      </w:r>
    </w:p>
    <w:p w14:paraId="0D058DDF">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★4、系统在1亿实名档案下，人脸图片实名聚类归档准确率≥99.9%，误聚率≤0.1%，召回率≥99.9%，漏聚率≤0.1%。（提供国家权威机构出具的检测报告证明并加盖投标人公章）</w:t>
      </w:r>
    </w:p>
    <w:p w14:paraId="62C11AAF">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5、支持对水平转动角不超过±60°的侧脸图片进行聚类归档；支持对俯仰角不超过±45°的人脸图片进行聚类归档;支持对倾斜角不超过±60°的人脸图片进行聚类归档；支持对光照强度大于10Lux的人脸图片进行聚类归档；支持对戴口罩、戴鸭舌帽、戴墨镜的人脸图片进行聚类归档；支持对同一人的青年人脸图片、中年人脸图片、老年人脸图片进行聚类归档。</w:t>
      </w:r>
    </w:p>
    <w:p w14:paraId="6B1B3A82">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6、系统实名身份库不少于1亿特征数据情况下，可实现新增人脸抓拍照片实时聚类归档功能。</w:t>
      </w:r>
    </w:p>
    <w:p w14:paraId="2716D9D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7、系统能够汇聚其他系统的抓拍与档案数据，统计级联汇聚的抓拍、档案与视频源数量，并支持对汇聚的抓拍进行检索、区域碰撞，以及支持对汇聚的档案进行检索分析、查看档案来源的功能。</w:t>
      </w:r>
    </w:p>
    <w:p w14:paraId="7D3C1D0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人体解析：</w:t>
      </w:r>
    </w:p>
    <w:p w14:paraId="1BA3FABF">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建设人体解析，支持接收通过消息队列推送过来的人体图片信息，或接收业务层发送过来的单张图片信息，对图片进行人体识别、特征提取、属性提取，将解析后的特征及属性通过消息队列推送给检索引擎和视图汇聚治理服务。</w:t>
      </w:r>
    </w:p>
    <w:p w14:paraId="0AF298A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人体属性识别包括性别（男、女）、发型（长发、短发、秃头）、发色（黑、白、黄）、附属物（伞、手套、包）有无、伞颜色（黑、白、灰、红、蓝、黄、绿、紫）、口罩颜色（黑、白、灰、蓝）、帽子款式（无帽子、渔夫帽、无檐帽、鸭舌帽、安全帽、头盔）、帽子颜色（黑、白、灰、红、黄、蓝、绿）、包款式（无包、单肩包、手提包、双肩包）、包颜色（黑、白、灰、红、黄、蓝）、上衣款式（西装、T恤、衬衫、连衣裙、长袖非外套）、上衣长度（长袖、短袖）、上衣颜色（黑、白、灰、红、黄、蓝、绿）、下装颜色（黑、白、灰、红、黄、蓝、绿）、下装长度（长裤、短裤、裙子）、鞋子款式（皮鞋、凉鞋、休闲鞋）、鞋颜色（黑、白、灰、红、黄、蓝、绿）、上衣纹理（纯色、条纹、图案、格子）、下装纹理（纯色、条纹、图案、格子）、眼镜款式（无眼镜、太阳镜、透明色）、年龄（老年人、成年人、儿童）、人体角度（正面、背面、侧面）、工作服款式（普通衣服、商务制服、工人服、厨师服、医护服、消防服、美团外卖服、饿了么外卖服）、人员状态（胸前抱物、玩手机、打电话）、是否抽烟、是否穿反光衣、是否戴口罩等。</w:t>
      </w:r>
    </w:p>
    <w:p w14:paraId="6F735553">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3、支持对最小图片尺寸&gt;25x 60像素的人体进行检测，人体检出率&gt;99%，人体识别准确率&gt;99%。</w:t>
      </w:r>
    </w:p>
    <w:p w14:paraId="2B1F7328">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4、支持在人体被遮挡住半边脸的情况下，可正确检测人体检出率≥95%。</w:t>
      </w:r>
    </w:p>
    <w:p w14:paraId="3B1C3770">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5、行人属性，支持帽子款式（无帽子，渔夫帽，无檐帽，鸭舌帽，安全帽，头盔）分析准确率≥95%。</w:t>
      </w:r>
    </w:p>
    <w:p w14:paraId="50C463BB">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6、行人属性，支持行人携带箱包款式（单肩包、双肩包、手提包、腰包、手拉箱）分析准确率≥90%。</w:t>
      </w:r>
    </w:p>
    <w:p w14:paraId="1FC6083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7、行人属性，支持行人属性发型分析准确率≥95%。</w:t>
      </w:r>
    </w:p>
    <w:p w14:paraId="2D1AE9E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8、行人属性，支持行人上衣款式（西装、T恤、衬衫、长袖上身外套、长袖长款大衣、连衣裙、长袖非外套）分析准确率≥95% 。</w:t>
      </w:r>
    </w:p>
    <w:p w14:paraId="616B1777">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9、行人属性，支持行人是否携带物品分析准确率≥95%。</w:t>
      </w:r>
    </w:p>
    <w:p w14:paraId="1CEA8CF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10、行人属性，支持行人是否戴口罩分析准确率≥99%。</w:t>
      </w:r>
    </w:p>
    <w:p w14:paraId="1EADBB3B">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11、在亿级规模人体抓拍数据中进行以图搜图轨迹检索，检索平均响应时间小于 0.5s。</w:t>
      </w:r>
    </w:p>
    <w:p w14:paraId="7AB2298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★12、人体图片解析入库（特征提取、特征入库）的速度≥3000张/秒。（提供国家权威机构出具的检测报告证明并加盖投标人公章）</w:t>
      </w:r>
    </w:p>
    <w:p w14:paraId="591A7D5C">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13、40亿人体抓拍库规模下，上传人体图片进行以图搜图轨迹检索，结果返回平均响应时间不超过3秒。</w:t>
      </w:r>
    </w:p>
    <w:p w14:paraId="4DEFB9BA">
      <w:pPr>
        <w:keepNext/>
        <w:pageBreakBefore w:val="0"/>
        <w:widowControl w:val="0"/>
        <w:kinsoku/>
        <w:wordWrap/>
        <w:overflowPunct/>
        <w:topLinePunct w:val="0"/>
        <w:autoSpaceDE/>
        <w:autoSpaceDN/>
        <w:bidi w:val="0"/>
        <w:snapToGrid w:val="0"/>
        <w:spacing w:line="440" w:lineRule="exact"/>
        <w:ind w:firstLine="482" w:firstLineChars="200"/>
        <w:jc w:val="left"/>
        <w:outlineLvl w:val="3"/>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3.5.22 24交换机</w:t>
      </w:r>
    </w:p>
    <w:p w14:paraId="3E30296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≥24个1G/10G SFP+光接口，≥2个40G/100G QSFP+光接口。</w:t>
      </w:r>
    </w:p>
    <w:p w14:paraId="1E1C5833">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交换容量≥2.56Tbps/25.6Tbps。</w:t>
      </w:r>
    </w:p>
    <w:p w14:paraId="09B24FC0">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转发性能≥1260Mpps。</w:t>
      </w:r>
    </w:p>
    <w:p w14:paraId="67F1F288">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支持模块化双电源。</w:t>
      </w:r>
    </w:p>
    <w:p w14:paraId="49DA2A1F">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支持模块化双风扇。</w:t>
      </w:r>
    </w:p>
    <w:p w14:paraId="7D1E2F9F">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工作温度：-5 ℃～45 ℃</w:t>
      </w:r>
    </w:p>
    <w:p w14:paraId="050AB45F">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工作湿度：5%～95%（非凝结）</w:t>
      </w:r>
    </w:p>
    <w:p w14:paraId="3E7E34F7">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含24个光模块</w:t>
      </w:r>
    </w:p>
    <w:p w14:paraId="0D7385F6">
      <w:pPr>
        <w:keepNext/>
        <w:pageBreakBefore w:val="0"/>
        <w:widowControl w:val="0"/>
        <w:kinsoku/>
        <w:wordWrap/>
        <w:overflowPunct/>
        <w:topLinePunct w:val="0"/>
        <w:autoSpaceDE/>
        <w:autoSpaceDN/>
        <w:bidi w:val="0"/>
        <w:snapToGrid w:val="0"/>
        <w:spacing w:line="440" w:lineRule="exact"/>
        <w:ind w:firstLine="482" w:firstLineChars="200"/>
        <w:jc w:val="left"/>
        <w:outlineLvl w:val="3"/>
        <w:rPr>
          <w:rFonts w:hint="default"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3.5.23违停球</w:t>
      </w:r>
    </w:p>
    <w:p w14:paraId="1C82D6A6">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摄像机靶面尺寸≥1/1.8英寸、分辨率≥2688x1520，内置GPU芯片及8GBeMMC芯片，内置不少于12颗补光灯，内置镜头，支持不小于40倍光学变倍，镜头最大焦距不小于240mm；（提供具有CMA标识的国家权威机构检测报告原件扫描件证明并加盖投标人公章）</w:t>
      </w:r>
    </w:p>
    <w:p w14:paraId="148A3406">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2、支持最低照度可达彩色0.0002Lx，黑白0.0001Lx；</w:t>
      </w:r>
    </w:p>
    <w:p w14:paraId="4EE14167">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3、水平旋转范围:0°~360°连续旋转，垂直旋转范围:-20°~90°；</w:t>
      </w:r>
    </w:p>
    <w:p w14:paraId="2FB294D6">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4、可通过IE浏览器将视频编码格式设置为H.265、H.264、MJPEG、smart265；</w:t>
      </w:r>
    </w:p>
    <w:p w14:paraId="13AF79F1">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5、支持对距离设备250m处机动车违法停车行为进行抓拍；</w:t>
      </w:r>
    </w:p>
    <w:p w14:paraId="4805E831">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6、可对机动车违停、逆行、压线、连续变道、机占非、掉头、蛇形变道、变道、加塞9种交通违法行为进行检测并抓拍，当触发报警后，可联动报警并上传图片；</w:t>
      </w:r>
    </w:p>
    <w:p w14:paraId="4D18256C">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7、样机支持抛洒物检测、行人检测、拥堵检测、路障检测、施工检测、交通事故检测、烟雾检测、火灾检测,当监控场景内道路事件触发报警后,可联动报警输出并上传图片,支持配置灵敏度、持续时间和过滤时间,支持布防多边形检测区域；</w:t>
      </w:r>
    </w:p>
    <w:p w14:paraId="467DC7E4">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★8、设备检测到违停车辆时，若目标车牌被遮挡物遮挡时，设备可不对该目标进行车牌识别，并上报无车牌报警；（提供具有CMA标识的国家权威机构检测报告原件扫描件证明并加盖投标人公章）</w:t>
      </w:r>
    </w:p>
    <w:p w14:paraId="41F367F0">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9、设备可在智能展示界面显示通过监视画面中的机动车子品牌标志，显示车尾子品牌标志不少于3117种；显示车头子品牌标志不少于7129种；</w:t>
      </w:r>
    </w:p>
    <w:p w14:paraId="0EC7AE0B">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10、设备在配置违停检测时，具有布防车牌颜色和布防车型配置选项；</w:t>
      </w:r>
    </w:p>
    <w:p w14:paraId="27FEB738">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11、设备可识别92式民用车、左右军车、一行结构的新武警车、黄色双行尾牌、使馆车、领馆汽车、警车、04式新军车、新能源车牌、绿色1325农用车、民航车牌；</w:t>
      </w:r>
    </w:p>
    <w:p w14:paraId="7C949F50">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12、设备可显示通过监视画面中的机动车车辆特征,包括:SUV、MPV、轿车、面包车、皮卡、小货车、货车、客车；可识别通过监视画面中的机动车车型；</w:t>
      </w:r>
    </w:p>
    <w:p w14:paraId="1C33471C">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13、设备具有VR全景图拼接功能，拼接图可选择柱状全景图和鱼眼全景图2种模式，生成的柱状全景图分辨率为8192x2446，鱼眼全景图分辨率为3458x3458；</w:t>
      </w:r>
    </w:p>
    <w:p w14:paraId="73128872">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14、设备具有VR展示功能，可在客户端软件展示生成的全景图和实时视频，全景图可与实时视频联动，可通过点击;全景图使实时画面转动至点击位置；</w:t>
      </w:r>
    </w:p>
    <w:p w14:paraId="16366572">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15、设备可对抛洒物事件中的树影、标线进行过滤；可对停车事件中的施工车辆进行过滤;可对行人事件中的交通设施、车身部件、影子进行过滤；（提供具有CMA标识的国家权威机构检测报告原件扫描件证明并加盖投标人公章）</w:t>
      </w:r>
    </w:p>
    <w:p w14:paraId="62965743">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16、设备自带雨刷,可通过网络远程控制雨刷功能检验雨刷开启、关闭；</w:t>
      </w:r>
    </w:p>
    <w:p w14:paraId="42A48E0C">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17、设备支持GB35114A级安全加密；</w:t>
      </w:r>
    </w:p>
    <w:p w14:paraId="547C051A">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18、采用DC36V供电；</w:t>
      </w:r>
    </w:p>
    <w:p w14:paraId="07AF584A">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19、防护：IP67；符合GB/T17626.5认证标准。</w:t>
      </w:r>
    </w:p>
    <w:p w14:paraId="590F115B">
      <w:pPr>
        <w:keepNext/>
        <w:keepLines/>
        <w:pageBreakBefore w:val="0"/>
        <w:widowControl/>
        <w:kinsoku/>
        <w:wordWrap/>
        <w:overflowPunct/>
        <w:topLinePunct w:val="0"/>
        <w:autoSpaceDE/>
        <w:autoSpaceDN/>
        <w:bidi w:val="0"/>
        <w:spacing w:line="440" w:lineRule="exact"/>
        <w:ind w:firstLine="482" w:firstLineChars="200"/>
        <w:jc w:val="left"/>
        <w:outlineLvl w:val="2"/>
        <w:rPr>
          <w:rFonts w:hint="eastAsia" w:ascii="宋体" w:hAnsi="宋体" w:eastAsia="宋体" w:cs="宋体"/>
          <w:color w:val="auto"/>
          <w:kern w:val="2"/>
          <w:sz w:val="24"/>
          <w:szCs w:val="24"/>
          <w:lang w:val="en-US" w:eastAsia="zh-CN" w:bidi="ar-SA"/>
        </w:rPr>
      </w:pPr>
      <w:bookmarkStart w:id="204" w:name="_Toc21406"/>
      <w:r>
        <w:rPr>
          <w:rFonts w:hint="eastAsia" w:ascii="宋体" w:hAnsi="宋体" w:eastAsia="宋体" w:cs="宋体"/>
          <w:b/>
          <w:bCs/>
          <w:color w:val="auto"/>
          <w:kern w:val="2"/>
          <w:sz w:val="24"/>
          <w:szCs w:val="24"/>
          <w:lang w:val="en-US" w:eastAsia="zh-CN" w:bidi="ar-SA"/>
        </w:rPr>
        <w:t>3.6  外场设备通信、供电方案</w:t>
      </w:r>
      <w:bookmarkEnd w:id="204"/>
    </w:p>
    <w:p w14:paraId="4DDB18BB">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w:t>
      </w:r>
      <w:r>
        <w:rPr>
          <w:rFonts w:hint="eastAsia" w:ascii="宋体" w:hAnsi="宋体" w:eastAsia="宋体" w:cs="宋体"/>
          <w:color w:val="auto"/>
          <w:kern w:val="2"/>
          <w:sz w:val="24"/>
          <w:szCs w:val="24"/>
          <w:lang w:val="en-US" w:eastAsia="zh-CN"/>
        </w:rPr>
        <w:t>6</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1</w:t>
      </w:r>
      <w:r>
        <w:rPr>
          <w:rFonts w:hint="eastAsia" w:ascii="宋体" w:hAnsi="宋体" w:eastAsia="宋体" w:cs="宋体"/>
          <w:color w:val="auto"/>
          <w:kern w:val="2"/>
          <w:sz w:val="24"/>
          <w:szCs w:val="24"/>
        </w:rPr>
        <w:t xml:space="preserve"> 外场设备通信接入方案</w:t>
      </w:r>
    </w:p>
    <w:p w14:paraId="023DB6A9">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（1）设备与以太网交换机间距离超过80m，需要增加网络连接器或采用光缆传输。</w:t>
      </w:r>
    </w:p>
    <w:p w14:paraId="14952253">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（2）采用基于TCP/IP通信协议的支持，在上层按照应用要求建立多通道的直接通信。</w:t>
      </w:r>
    </w:p>
    <w:p w14:paraId="3852951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（3）本工程前端设备与控制中心网络接入采用原有网络或租赁运营商光缆方式接入控制中心。</w:t>
      </w:r>
    </w:p>
    <w:p w14:paraId="532E29AF">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（4）本工程前端设备的接口标准需与交警支队现有平台接口标准保持一致，无缝接入。</w:t>
      </w:r>
    </w:p>
    <w:p w14:paraId="4E212921">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rPr>
        <w:t>（5）保证数据安全稳定传输（包含所有传输设备）</w:t>
      </w:r>
      <w:r>
        <w:rPr>
          <w:rFonts w:hint="eastAsia" w:ascii="宋体" w:hAnsi="宋体" w:eastAsia="宋体" w:cs="宋体"/>
          <w:color w:val="auto"/>
          <w:kern w:val="2"/>
          <w:sz w:val="24"/>
          <w:szCs w:val="24"/>
          <w:lang w:eastAsia="zh-CN"/>
        </w:rPr>
        <w:t>。</w:t>
      </w:r>
    </w:p>
    <w:p w14:paraId="10D0BD84">
      <w:pPr>
        <w:pageBreakBefore w:val="0"/>
        <w:kinsoku/>
        <w:wordWrap/>
        <w:overflowPunct/>
        <w:topLinePunct w:val="0"/>
        <w:autoSpaceDE/>
        <w:autoSpaceDN/>
        <w:bidi w:val="0"/>
        <w:spacing w:line="440" w:lineRule="exact"/>
        <w:ind w:firstLine="482" w:firstLineChars="200"/>
        <w:jc w:val="left"/>
        <w:rPr>
          <w:rFonts w:hint="eastAsia" w:ascii="宋体" w:hAnsi="宋体" w:eastAsia="宋体" w:cs="宋体"/>
          <w:color w:val="auto"/>
          <w:kern w:val="2"/>
          <w:sz w:val="24"/>
          <w:szCs w:val="24"/>
        </w:rPr>
      </w:pPr>
      <w:r>
        <w:rPr>
          <w:rFonts w:hint="eastAsia" w:ascii="宋体" w:hAnsi="宋体" w:eastAsia="宋体" w:cs="宋体"/>
          <w:b/>
          <w:bCs/>
          <w:color w:val="auto"/>
          <w:kern w:val="2"/>
          <w:sz w:val="24"/>
          <w:szCs w:val="24"/>
        </w:rPr>
        <w:t>3.</w:t>
      </w:r>
      <w:r>
        <w:rPr>
          <w:rFonts w:hint="eastAsia" w:ascii="宋体" w:hAnsi="宋体" w:eastAsia="宋体" w:cs="宋体"/>
          <w:b/>
          <w:bCs/>
          <w:color w:val="auto"/>
          <w:kern w:val="2"/>
          <w:sz w:val="24"/>
          <w:szCs w:val="24"/>
          <w:lang w:val="en-US" w:eastAsia="zh-CN"/>
        </w:rPr>
        <w:t>6</w:t>
      </w:r>
      <w:r>
        <w:rPr>
          <w:rFonts w:hint="eastAsia" w:ascii="宋体" w:hAnsi="宋体" w:eastAsia="宋体" w:cs="宋体"/>
          <w:b/>
          <w:bCs/>
          <w:color w:val="auto"/>
          <w:kern w:val="2"/>
          <w:sz w:val="24"/>
          <w:szCs w:val="24"/>
        </w:rPr>
        <w:t>.</w:t>
      </w:r>
      <w:r>
        <w:rPr>
          <w:rFonts w:hint="eastAsia" w:ascii="宋体" w:hAnsi="宋体" w:eastAsia="宋体" w:cs="宋体"/>
          <w:b/>
          <w:bCs/>
          <w:color w:val="auto"/>
          <w:kern w:val="2"/>
          <w:sz w:val="24"/>
          <w:szCs w:val="24"/>
          <w:lang w:val="en-US" w:eastAsia="zh-CN"/>
        </w:rPr>
        <w:t>2</w:t>
      </w:r>
      <w:r>
        <w:rPr>
          <w:rFonts w:hint="eastAsia" w:ascii="宋体" w:hAnsi="宋体" w:eastAsia="宋体" w:cs="宋体"/>
          <w:b/>
          <w:bCs/>
          <w:color w:val="auto"/>
          <w:kern w:val="2"/>
          <w:sz w:val="24"/>
          <w:szCs w:val="24"/>
        </w:rPr>
        <w:t xml:space="preserve"> 外场设备远程通信光缆</w:t>
      </w:r>
    </w:p>
    <w:p w14:paraId="36A46E68">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rPr>
        <w:t>本工程通信网络租用运营商光纤链路的方式，保证数据安全稳定传输。</w:t>
      </w:r>
    </w:p>
    <w:p w14:paraId="39E88455">
      <w:pPr>
        <w:pageBreakBefore w:val="0"/>
        <w:kinsoku/>
        <w:wordWrap/>
        <w:overflowPunct/>
        <w:topLinePunct w:val="0"/>
        <w:autoSpaceDE/>
        <w:autoSpaceDN/>
        <w:bidi w:val="0"/>
        <w:spacing w:line="440" w:lineRule="exact"/>
        <w:ind w:firstLine="482" w:firstLineChars="200"/>
        <w:jc w:val="left"/>
        <w:rPr>
          <w:rFonts w:hint="eastAsia" w:ascii="宋体" w:hAnsi="宋体" w:eastAsia="宋体" w:cs="宋体"/>
          <w:color w:val="auto"/>
          <w:kern w:val="2"/>
          <w:sz w:val="24"/>
          <w:szCs w:val="24"/>
        </w:rPr>
      </w:pPr>
      <w:r>
        <w:rPr>
          <w:rFonts w:hint="eastAsia" w:ascii="宋体" w:hAnsi="宋体" w:eastAsia="宋体" w:cs="宋体"/>
          <w:b/>
          <w:bCs/>
          <w:color w:val="auto"/>
          <w:kern w:val="2"/>
          <w:sz w:val="24"/>
          <w:szCs w:val="24"/>
        </w:rPr>
        <w:t>3.</w:t>
      </w:r>
      <w:r>
        <w:rPr>
          <w:rFonts w:hint="eastAsia" w:ascii="宋体" w:hAnsi="宋体" w:eastAsia="宋体" w:cs="宋体"/>
          <w:b/>
          <w:bCs/>
          <w:color w:val="auto"/>
          <w:kern w:val="2"/>
          <w:sz w:val="24"/>
          <w:szCs w:val="24"/>
          <w:lang w:val="en-US" w:eastAsia="zh-CN"/>
        </w:rPr>
        <w:t>6</w:t>
      </w:r>
      <w:r>
        <w:rPr>
          <w:rFonts w:hint="eastAsia" w:ascii="宋体" w:hAnsi="宋体" w:eastAsia="宋体" w:cs="宋体"/>
          <w:b/>
          <w:bCs/>
          <w:color w:val="auto"/>
          <w:kern w:val="2"/>
          <w:sz w:val="24"/>
          <w:szCs w:val="24"/>
        </w:rPr>
        <w:t>.</w:t>
      </w:r>
      <w:r>
        <w:rPr>
          <w:rFonts w:hint="eastAsia" w:ascii="宋体" w:hAnsi="宋体" w:eastAsia="宋体" w:cs="宋体"/>
          <w:b/>
          <w:bCs/>
          <w:color w:val="auto"/>
          <w:kern w:val="2"/>
          <w:sz w:val="24"/>
          <w:szCs w:val="24"/>
          <w:lang w:val="en-US" w:eastAsia="zh-CN"/>
        </w:rPr>
        <w:t>3</w:t>
      </w:r>
      <w:r>
        <w:rPr>
          <w:rFonts w:hint="eastAsia" w:ascii="宋体" w:hAnsi="宋体" w:eastAsia="宋体" w:cs="宋体"/>
          <w:b/>
          <w:bCs/>
          <w:color w:val="auto"/>
          <w:kern w:val="2"/>
          <w:sz w:val="24"/>
          <w:szCs w:val="24"/>
        </w:rPr>
        <w:t xml:space="preserve"> 外场设备供电方案</w:t>
      </w:r>
    </w:p>
    <w:p w14:paraId="131A3D48">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本工程前端设备用电采用就近取电原则，由民用变电箱引出（需向供电部门申请），或与附近工厂、商铺、居民协商借用，安装计量表按期付费，其中取电位置下桩头至本项目前端设备的电缆配线由本工程实施。</w:t>
      </w:r>
    </w:p>
    <w:p w14:paraId="721F87E1">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本工程中，交通监控设备的用电负荷为三级负荷。</w:t>
      </w:r>
    </w:p>
    <w:p w14:paraId="658B5569">
      <w:pPr>
        <w:keepNext/>
        <w:keepLines/>
        <w:pageBreakBefore w:val="0"/>
        <w:widowControl/>
        <w:kinsoku/>
        <w:wordWrap/>
        <w:overflowPunct/>
        <w:topLinePunct w:val="0"/>
        <w:autoSpaceDE/>
        <w:autoSpaceDN/>
        <w:bidi w:val="0"/>
        <w:spacing w:line="440" w:lineRule="exact"/>
        <w:ind w:firstLine="482" w:firstLineChars="200"/>
        <w:jc w:val="left"/>
        <w:outlineLvl w:val="2"/>
        <w:rPr>
          <w:rFonts w:hint="eastAsia" w:ascii="宋体" w:hAnsi="宋体" w:eastAsia="宋体" w:cs="宋体"/>
          <w:color w:val="auto"/>
          <w:kern w:val="2"/>
          <w:sz w:val="24"/>
          <w:szCs w:val="24"/>
          <w:lang w:val="en-US" w:eastAsia="zh-CN" w:bidi="ar-SA"/>
        </w:rPr>
      </w:pPr>
      <w:bookmarkStart w:id="205" w:name="_Toc23937"/>
      <w:r>
        <w:rPr>
          <w:rFonts w:hint="eastAsia" w:ascii="宋体" w:hAnsi="宋体" w:eastAsia="宋体" w:cs="宋体"/>
          <w:b/>
          <w:bCs/>
          <w:color w:val="auto"/>
          <w:kern w:val="2"/>
          <w:sz w:val="24"/>
          <w:szCs w:val="24"/>
          <w:lang w:val="en-US" w:eastAsia="zh-CN" w:bidi="ar-SA"/>
        </w:rPr>
        <w:t>3.7  基础配套工程</w:t>
      </w:r>
      <w:bookmarkEnd w:id="205"/>
    </w:p>
    <w:p w14:paraId="7D09FE87">
      <w:pPr>
        <w:pageBreakBefore w:val="0"/>
        <w:kinsoku/>
        <w:wordWrap/>
        <w:overflowPunct/>
        <w:topLinePunct w:val="0"/>
        <w:autoSpaceDE/>
        <w:autoSpaceDN/>
        <w:bidi w:val="0"/>
        <w:spacing w:line="440" w:lineRule="exact"/>
        <w:ind w:firstLine="482" w:firstLineChars="200"/>
        <w:jc w:val="left"/>
        <w:rPr>
          <w:rFonts w:hint="eastAsia" w:ascii="宋体" w:hAnsi="宋体" w:eastAsia="宋体" w:cs="宋体"/>
          <w:color w:val="auto"/>
          <w:kern w:val="2"/>
          <w:sz w:val="24"/>
          <w:szCs w:val="24"/>
        </w:rPr>
      </w:pPr>
      <w:r>
        <w:rPr>
          <w:rFonts w:hint="eastAsia" w:ascii="宋体" w:hAnsi="宋体" w:eastAsia="宋体" w:cs="宋体"/>
          <w:b/>
          <w:bCs/>
          <w:color w:val="auto"/>
          <w:kern w:val="2"/>
          <w:sz w:val="24"/>
          <w:szCs w:val="24"/>
        </w:rPr>
        <w:t>3.</w:t>
      </w:r>
      <w:r>
        <w:rPr>
          <w:rFonts w:hint="eastAsia" w:ascii="宋体" w:hAnsi="宋体" w:eastAsia="宋体" w:cs="宋体"/>
          <w:b/>
          <w:bCs/>
          <w:color w:val="auto"/>
          <w:kern w:val="2"/>
          <w:sz w:val="24"/>
          <w:szCs w:val="24"/>
          <w:lang w:val="en-US" w:eastAsia="zh-CN"/>
        </w:rPr>
        <w:t>7</w:t>
      </w:r>
      <w:r>
        <w:rPr>
          <w:rFonts w:hint="eastAsia" w:ascii="宋体" w:hAnsi="宋体" w:eastAsia="宋体" w:cs="宋体"/>
          <w:b/>
          <w:bCs/>
          <w:color w:val="auto"/>
          <w:kern w:val="2"/>
          <w:sz w:val="24"/>
          <w:szCs w:val="24"/>
        </w:rPr>
        <w:t>.</w:t>
      </w:r>
      <w:r>
        <w:rPr>
          <w:rFonts w:hint="eastAsia" w:ascii="宋体" w:hAnsi="宋体" w:eastAsia="宋体" w:cs="宋体"/>
          <w:b/>
          <w:bCs/>
          <w:color w:val="auto"/>
          <w:kern w:val="2"/>
          <w:sz w:val="24"/>
          <w:szCs w:val="24"/>
          <w:lang w:val="en-US" w:eastAsia="zh-CN"/>
        </w:rPr>
        <w:t>1</w:t>
      </w:r>
      <w:r>
        <w:rPr>
          <w:rFonts w:hint="eastAsia" w:ascii="宋体" w:hAnsi="宋体" w:eastAsia="宋体" w:cs="宋体"/>
          <w:b/>
          <w:bCs/>
          <w:color w:val="auto"/>
          <w:kern w:val="2"/>
          <w:sz w:val="24"/>
          <w:szCs w:val="24"/>
        </w:rPr>
        <w:t xml:space="preserve"> 管道工程设计</w:t>
      </w:r>
    </w:p>
    <w:p w14:paraId="7E1F144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在开工之前，施工方须对原有管道进行试穿，看能否借用原有管道，能借用的尽量使用，避免重新破路施工，保证施工效率。不能借用管道的路线，就查明该路线区域内原有管线的埋设情况，根据实际情况作出相应的施工方案，对管道施工所经路线的障碍物进行初步统计，为以后的施工做好基础。</w:t>
      </w:r>
    </w:p>
    <w:p w14:paraId="649A1810">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进行施工放样前先校核施工图纸，按施工图纸提供的路线及位置，定出管道线路走向。认真详细做好记录，必要时应附示意图方便资料的整理。</w:t>
      </w:r>
    </w:p>
    <w:p w14:paraId="6BB69C43">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施工中沥青和水泥混凝路面采取横平竖直开挖，人行道按沿砖缝线开挖，路面恢复后应平整、不积水，并保持施工完后路面的完整。</w:t>
      </w:r>
    </w:p>
    <w:p w14:paraId="64F52C5F">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（1）、沥青路面挖掘及恢复施工：</w:t>
      </w:r>
    </w:p>
    <w:p w14:paraId="664498FE">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1）现场打围后，严格按照设计施工图进行测量放线；</w:t>
      </w:r>
    </w:p>
    <w:p w14:paraId="386CB93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2）现场复核后按照放线位置进行路面切割，保证切割的直顺度，人工破除路面及基层；</w:t>
      </w:r>
    </w:p>
    <w:p w14:paraId="54FA76FF">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3）为避免道路恢复后路面下沉，管道沟槽开挖后形成V形沟槽,搭肩宽度为 100 mm。</w:t>
      </w:r>
    </w:p>
    <w:p w14:paraId="1EA83CC2">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4）沥青路面开挖宽度为200mm，沟槽总深度为 400mm。</w:t>
      </w:r>
    </w:p>
    <w:p w14:paraId="166D4B7E">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5）沟底土基土质较差时应换尽不良土，沟底土须碾压密实后敷设管道，要求土基回弹模量 Eo≥35Mpa，压实度要求≥95%。</w:t>
      </w:r>
    </w:p>
    <w:p w14:paraId="7B0E60D9">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6）管道敷设后采用最终强度可达 80～90Mpa 的（快干、早强）C25 混凝土浇灌至离路面100 mm 位置。</w:t>
      </w:r>
    </w:p>
    <w:p w14:paraId="5DC32DC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7）C25 混凝土至离路面 100 mm 位置采用热沥青罩面，用压实机具进行夯实。为保证沥青路面恢复质量，沥青路面恢复由指定专业道路管护单位统一安排施工。</w:t>
      </w:r>
    </w:p>
    <w:p w14:paraId="6AB859A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（2）、水泥混凝土路面挖掘及恢复施工：</w:t>
      </w:r>
    </w:p>
    <w:p w14:paraId="5F5D799C">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1）现场打围后，严格按照设计施工图进行测量放线；</w:t>
      </w:r>
    </w:p>
    <w:p w14:paraId="22AD584E">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2）现场复核后按照放线位置进行路面切割，保证切割的直顺度，人工破除路面及基层；</w:t>
      </w:r>
    </w:p>
    <w:p w14:paraId="2C3FF02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3）为避免道路恢复后路面下沉，管道沟槽开挖后形成V形沟槽,搭肩宽度为100 mm。</w:t>
      </w:r>
    </w:p>
    <w:p w14:paraId="6EF5A37C">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4）为减少对水泥路面的伤害，开挖沟槽应尽量选择伸缩缝作为一边开挖线。</w:t>
      </w:r>
    </w:p>
    <w:p w14:paraId="45E95EF8">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5）水泥混凝土路面开挖宽度200mm，沟槽总深度为400mm。</w:t>
      </w:r>
    </w:p>
    <w:p w14:paraId="1C24DC4A">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6）沟底土基土质较差时应换尽不良土，沟底土须碾压密实后敷设管道，要求土基回弹模量 Eo≥35Mpa，压实度要求≥95%。</w:t>
      </w:r>
    </w:p>
    <w:p w14:paraId="69ED8DF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7）管道敷设后采用最终强度可达80～90Mpa 的（快干、早强）C25 混凝土浇灌至原路面位置。</w:t>
      </w:r>
    </w:p>
    <w:p w14:paraId="048EAD0E">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（3）、人行道路面挖掘及恢复施工：</w:t>
      </w:r>
    </w:p>
    <w:p w14:paraId="28A1CE3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1）现场打围后，严格按照设计施工图进行测量放线；</w:t>
      </w:r>
    </w:p>
    <w:p w14:paraId="5C0802A9">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2）现场复核后按照放线位置进行路面切割，保证切割的直顺度，人工破除路面及基层；</w:t>
      </w:r>
    </w:p>
    <w:p w14:paraId="3D4DCA9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3）为避免道路恢复后路面下沉，管道沟槽开挖后形成V形沟槽。</w:t>
      </w:r>
    </w:p>
    <w:p w14:paraId="0B3FF2F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4）人行道路面开挖沟槽应尽量选择花砖缝作为开挖线，应根据花砖宽度调整开挖宽度，开挖宽度不低于200mm，沟槽总深度为 400mm。</w:t>
      </w:r>
    </w:p>
    <w:p w14:paraId="219DBA6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5）沟底土基土质较差时应换尽不良土，沟底土须碾压密实后敷设管道，要求土基回弹模量 Eo≥35Mpa，压实度要求≥95%。</w:t>
      </w:r>
    </w:p>
    <w:p w14:paraId="01FC945E">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6）人行道路恢复选用与原人行道路面相同材料对路面进行恢复，达到与原路面材料颜色花纹协调一致。</w:t>
      </w:r>
    </w:p>
    <w:p w14:paraId="21A925B9">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(4)、绿化带管道开挖及恢复：</w:t>
      </w:r>
    </w:p>
    <w:p w14:paraId="115CF8E9">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1)现场打围后，严格按照设计施工图进行测量放线；</w:t>
      </w:r>
    </w:p>
    <w:p w14:paraId="12442AF7">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2)现场复核后按照放线位置绿化带的开挖，开挖时注意对管道外的绿化的保护；</w:t>
      </w:r>
    </w:p>
    <w:p w14:paraId="1FD6CD6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3)绿化带管道开挖宽度为200mm，沟槽总深度为500mm。</w:t>
      </w:r>
    </w:p>
    <w:p w14:paraId="58573B02">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4）沟底土基土质较差时应换尽不良土，沟底土须碾压密实后敷设管道，要求土基回弹模量 Eo≥35Mpa，压实度要求≥95%。</w:t>
      </w:r>
    </w:p>
    <w:p w14:paraId="01F7145E">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5）管道敷设后将其恢复成原绿化带的标准。</w:t>
      </w:r>
    </w:p>
    <w:p w14:paraId="28527F2F">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施工时，做到文明规范、安全施工，施工现场内道路应保持通畅，不在道路上堆放构件、材料等障碍物。施工运输车辆、挖掘机械驶出工地前必须进行冲洗。运输砂石、水泥、土方、垃圾等易产生扬尘污染的车辆必须封闭严密，严禁撒漏。在管道施工时，特别车行道与人行道上，注意打围的规范，保证行车与行人的安全，另外当施工现场交通流量较大时，有交通秩序员维护引导现场交通，降低施工对道路交通的影响。</w:t>
      </w:r>
    </w:p>
    <w:p w14:paraId="2C53B726">
      <w:pPr>
        <w:pageBreakBefore w:val="0"/>
        <w:kinsoku/>
        <w:wordWrap/>
        <w:overflowPunct/>
        <w:topLinePunct w:val="0"/>
        <w:autoSpaceDE/>
        <w:autoSpaceDN/>
        <w:bidi w:val="0"/>
        <w:spacing w:line="440" w:lineRule="exact"/>
        <w:ind w:firstLine="482" w:firstLineChars="200"/>
        <w:jc w:val="left"/>
        <w:rPr>
          <w:rFonts w:hint="eastAsia" w:ascii="宋体" w:hAnsi="宋体" w:eastAsia="宋体" w:cs="宋体"/>
          <w:color w:val="auto"/>
          <w:kern w:val="2"/>
          <w:sz w:val="24"/>
          <w:szCs w:val="24"/>
        </w:rPr>
      </w:pPr>
      <w:r>
        <w:rPr>
          <w:rFonts w:hint="eastAsia" w:ascii="宋体" w:hAnsi="宋体" w:eastAsia="宋体" w:cs="宋体"/>
          <w:b/>
          <w:bCs/>
          <w:color w:val="auto"/>
          <w:kern w:val="2"/>
          <w:sz w:val="24"/>
          <w:szCs w:val="24"/>
        </w:rPr>
        <w:t>3.</w:t>
      </w:r>
      <w:r>
        <w:rPr>
          <w:rFonts w:hint="eastAsia" w:ascii="宋体" w:hAnsi="宋体" w:eastAsia="宋体" w:cs="宋体"/>
          <w:b/>
          <w:bCs/>
          <w:color w:val="auto"/>
          <w:kern w:val="2"/>
          <w:sz w:val="24"/>
          <w:szCs w:val="24"/>
          <w:lang w:val="en-US" w:eastAsia="zh-CN"/>
        </w:rPr>
        <w:t>7</w:t>
      </w:r>
      <w:r>
        <w:rPr>
          <w:rFonts w:hint="eastAsia" w:ascii="宋体" w:hAnsi="宋体" w:eastAsia="宋体" w:cs="宋体"/>
          <w:b/>
          <w:bCs/>
          <w:color w:val="auto"/>
          <w:kern w:val="2"/>
          <w:sz w:val="24"/>
          <w:szCs w:val="24"/>
        </w:rPr>
        <w:t>.</w:t>
      </w:r>
      <w:r>
        <w:rPr>
          <w:rFonts w:hint="eastAsia" w:ascii="宋体" w:hAnsi="宋体" w:eastAsia="宋体" w:cs="宋体"/>
          <w:b/>
          <w:bCs/>
          <w:color w:val="auto"/>
          <w:kern w:val="2"/>
          <w:sz w:val="24"/>
          <w:szCs w:val="24"/>
          <w:lang w:val="en-US" w:eastAsia="zh-CN"/>
        </w:rPr>
        <w:t>2</w:t>
      </w:r>
      <w:r>
        <w:rPr>
          <w:rFonts w:hint="eastAsia" w:ascii="宋体" w:hAnsi="宋体" w:eastAsia="宋体" w:cs="宋体"/>
          <w:b/>
          <w:bCs/>
          <w:color w:val="auto"/>
          <w:kern w:val="2"/>
          <w:sz w:val="24"/>
          <w:szCs w:val="24"/>
        </w:rPr>
        <w:t xml:space="preserve"> 线缆敷设工程设计</w:t>
      </w:r>
    </w:p>
    <w:p w14:paraId="622992EA">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eastAsia="zh-CN"/>
        </w:rPr>
      </w:pPr>
      <w:bookmarkStart w:id="206" w:name="_Toc45198498"/>
      <w:bookmarkStart w:id="207" w:name="_Toc520563392"/>
      <w:bookmarkStart w:id="208" w:name="_Toc520671490"/>
      <w:r>
        <w:rPr>
          <w:rFonts w:hint="eastAsia" w:ascii="宋体" w:hAnsi="宋体" w:eastAsia="宋体" w:cs="宋体"/>
          <w:color w:val="auto"/>
          <w:kern w:val="2"/>
          <w:sz w:val="24"/>
          <w:szCs w:val="24"/>
        </w:rPr>
        <w:t>供电线缆敷设</w:t>
      </w:r>
      <w:bookmarkEnd w:id="206"/>
      <w:bookmarkEnd w:id="207"/>
      <w:bookmarkEnd w:id="208"/>
      <w:r>
        <w:rPr>
          <w:rFonts w:hint="eastAsia" w:ascii="宋体" w:hAnsi="宋体" w:eastAsia="宋体" w:cs="宋体"/>
          <w:color w:val="auto"/>
          <w:kern w:val="2"/>
          <w:sz w:val="24"/>
          <w:szCs w:val="24"/>
          <w:lang w:eastAsia="zh-CN"/>
        </w:rPr>
        <w:t>：</w:t>
      </w:r>
    </w:p>
    <w:p w14:paraId="6FF6186F">
      <w:pPr>
        <w:pageBreakBefore w:val="0"/>
        <w:kinsoku/>
        <w:wordWrap/>
        <w:overflowPunct/>
        <w:topLinePunct w:val="0"/>
        <w:autoSpaceDE/>
        <w:autoSpaceDN/>
        <w:bidi w:val="0"/>
        <w:spacing w:line="440" w:lineRule="exact"/>
        <w:ind w:firstLine="482" w:firstLineChars="200"/>
        <w:jc w:val="left"/>
        <w:rPr>
          <w:rFonts w:hint="eastAsia" w:ascii="宋体" w:hAnsi="宋体" w:eastAsia="宋体" w:cs="宋体"/>
          <w:b/>
          <w:bCs/>
          <w:color w:val="auto"/>
          <w:kern w:val="2"/>
          <w:sz w:val="24"/>
          <w:szCs w:val="24"/>
        </w:rPr>
      </w:pPr>
      <w:bookmarkStart w:id="209" w:name="_Toc448153458"/>
      <w:bookmarkStart w:id="210" w:name="_Toc423897285"/>
      <w:bookmarkStart w:id="211" w:name="_Toc449453944"/>
      <w:bookmarkStart w:id="212" w:name="_Toc426148477"/>
      <w:bookmarkStart w:id="213" w:name="_Toc427834229"/>
      <w:bookmarkStart w:id="214" w:name="_Toc520563393"/>
      <w:bookmarkStart w:id="215" w:name="_Toc520671491"/>
      <w:r>
        <w:rPr>
          <w:rFonts w:hint="eastAsia" w:ascii="宋体" w:hAnsi="宋体" w:eastAsia="宋体" w:cs="宋体"/>
          <w:b/>
          <w:bCs/>
          <w:color w:val="auto"/>
          <w:kern w:val="2"/>
          <w:sz w:val="24"/>
          <w:szCs w:val="24"/>
        </w:rPr>
        <w:t>一般要求</w:t>
      </w:r>
      <w:bookmarkEnd w:id="209"/>
      <w:bookmarkEnd w:id="210"/>
      <w:bookmarkEnd w:id="211"/>
      <w:bookmarkEnd w:id="212"/>
      <w:bookmarkEnd w:id="213"/>
      <w:bookmarkEnd w:id="214"/>
      <w:bookmarkEnd w:id="215"/>
    </w:p>
    <w:p w14:paraId="4F145D13">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运到现场的电缆及材料均应核对其型号、规格符合设计要求，并有合格证。</w:t>
      </w:r>
    </w:p>
    <w:p w14:paraId="5B437A6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检查电缆及材料外观无损伤和缺陷。</w:t>
      </w:r>
    </w:p>
    <w:p w14:paraId="46BB3C0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卸货和搬运作业时，均不得使设备或外来物体接触到电缆表面。</w:t>
      </w:r>
    </w:p>
    <w:p w14:paraId="17FA890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在任何情况下，均不得将电缆盘从所载运的车辆上推到地面上。</w:t>
      </w:r>
    </w:p>
    <w:p w14:paraId="016772AA">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经切割的电缆两端应立即密封，以避免潮气侵入。</w:t>
      </w:r>
    </w:p>
    <w:p w14:paraId="134113E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p>
    <w:p w14:paraId="78A6A22C">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eastAsia="zh-CN"/>
        </w:rPr>
      </w:pPr>
      <w:bookmarkStart w:id="216" w:name="_Toc448153459"/>
      <w:bookmarkStart w:id="217" w:name="_Toc449453945"/>
      <w:bookmarkStart w:id="218" w:name="_Toc423897286"/>
      <w:bookmarkStart w:id="219" w:name="_Toc520671492"/>
      <w:bookmarkStart w:id="220" w:name="_Toc426148478"/>
      <w:bookmarkStart w:id="221" w:name="_Toc427834230"/>
      <w:bookmarkStart w:id="222" w:name="_Toc520563394"/>
      <w:r>
        <w:rPr>
          <w:rFonts w:hint="eastAsia" w:ascii="宋体" w:hAnsi="宋体" w:eastAsia="宋体" w:cs="宋体"/>
          <w:color w:val="auto"/>
          <w:kern w:val="2"/>
          <w:sz w:val="24"/>
          <w:szCs w:val="24"/>
        </w:rPr>
        <w:t>电缆导管敷设</w:t>
      </w:r>
      <w:bookmarkEnd w:id="216"/>
      <w:bookmarkEnd w:id="217"/>
      <w:bookmarkEnd w:id="218"/>
      <w:bookmarkEnd w:id="219"/>
      <w:bookmarkEnd w:id="220"/>
      <w:bookmarkEnd w:id="221"/>
      <w:bookmarkEnd w:id="222"/>
      <w:r>
        <w:rPr>
          <w:rFonts w:hint="eastAsia" w:ascii="宋体" w:hAnsi="宋体" w:eastAsia="宋体" w:cs="宋体"/>
          <w:color w:val="auto"/>
          <w:kern w:val="2"/>
          <w:sz w:val="24"/>
          <w:szCs w:val="24"/>
          <w:lang w:eastAsia="zh-CN"/>
        </w:rPr>
        <w:t>：</w:t>
      </w:r>
    </w:p>
    <w:p w14:paraId="2BA85797">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管口切割以后，内边缘必须锉平。</w:t>
      </w:r>
    </w:p>
    <w:p w14:paraId="7435068E">
      <w:pPr>
        <w:pageBreakBefore w:val="0"/>
        <w:kinsoku/>
        <w:wordWrap/>
        <w:overflowPunct/>
        <w:topLinePunct w:val="0"/>
        <w:autoSpaceDE/>
        <w:autoSpaceDN/>
        <w:bidi w:val="0"/>
        <w:spacing w:line="440" w:lineRule="exact"/>
        <w:ind w:firstLine="482" w:firstLineChars="200"/>
        <w:jc w:val="left"/>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导线管必须冷弯，弯曲半径符合规范要求。</w:t>
      </w:r>
    </w:p>
    <w:p w14:paraId="3149797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埋地导管在安装预制前，先按施工图确定好路径，安装好的导管要用非木质件固定并随导管一起埋入地坪，导管埋深符合规范要求。</w:t>
      </w:r>
    </w:p>
    <w:p w14:paraId="6AC571B7">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在地面上敷设的导管要适当地固定在附近的结构或支架上，接线盒的安装要避免雨水进入。</w:t>
      </w:r>
    </w:p>
    <w:p w14:paraId="16212CF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镀锌管锌层剥落处应涂以防腐漆。</w:t>
      </w:r>
    </w:p>
    <w:p w14:paraId="5FBBB2A1">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rPr>
        <w:t>电缆敷设前准备</w:t>
      </w:r>
      <w:r>
        <w:rPr>
          <w:rFonts w:hint="eastAsia" w:ascii="宋体" w:hAnsi="宋体" w:eastAsia="宋体" w:cs="宋体"/>
          <w:color w:val="auto"/>
          <w:kern w:val="2"/>
          <w:sz w:val="24"/>
          <w:szCs w:val="24"/>
          <w:lang w:eastAsia="zh-CN"/>
        </w:rPr>
        <w:t>：</w:t>
      </w:r>
    </w:p>
    <w:p w14:paraId="3EC0B76F">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根据电缆到货长度，敷设长度编制电缆分配表，分列各编号电缆的起点、终点、长度及分配盘号。</w:t>
      </w:r>
    </w:p>
    <w:p w14:paraId="0249FB37">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根据现场电缆分布情况和电缆分配表，安排电缆敷设顺序，宜先远后近，先集中后分散。</w:t>
      </w:r>
    </w:p>
    <w:p w14:paraId="6B3710F2">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电缆敷设前需对每盘电缆进行导通性和绝缘性检查，合格电缆方可敷设，绝缘检查低压电缆用500VM表测试。</w:t>
      </w:r>
    </w:p>
    <w:p w14:paraId="3A91F4F3">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电缆型号、规格等应符合设计要求，外观良好，保护层无破损。</w:t>
      </w:r>
    </w:p>
    <w:p w14:paraId="0C6EE160">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电缆槽/托盘安装完，直埋电缆区域无土方开挖，电缆保护管预埋工作已完成，导管中穿好铁丝。</w:t>
      </w:r>
    </w:p>
    <w:p w14:paraId="53BCAC93">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设计一个合适的表格，记录每个电缆盘每次提取的电缆数量和剩余的电缆数量。</w:t>
      </w:r>
    </w:p>
    <w:p w14:paraId="79E7B84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rPr>
        <w:t>管内穿线</w:t>
      </w:r>
      <w:r>
        <w:rPr>
          <w:rFonts w:hint="eastAsia" w:ascii="宋体" w:hAnsi="宋体" w:eastAsia="宋体" w:cs="宋体"/>
          <w:color w:val="auto"/>
          <w:kern w:val="2"/>
          <w:sz w:val="24"/>
          <w:szCs w:val="24"/>
          <w:lang w:val="en-US" w:eastAsia="zh-CN"/>
        </w:rPr>
        <w:t>:</w:t>
      </w:r>
    </w:p>
    <w:p w14:paraId="499501F0">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对穿管敷设的绝缘导线，其额定电压不低于 500V。</w:t>
      </w:r>
    </w:p>
    <w:p w14:paraId="74782A21">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不同回路、不同电压等级的导线，不穿在同一根管内。</w:t>
      </w:r>
    </w:p>
    <w:p w14:paraId="40F51AF1">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同类供电的几个回路可穿入同一根管内，但管内导线总数不多于 8 根。</w:t>
      </w:r>
    </w:p>
    <w:p w14:paraId="1617593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同一交流回路的导线穿于同一钢管内。</w:t>
      </w:r>
    </w:p>
    <w:p w14:paraId="18C60EF0">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导线在管内无接头和扭结，接头设在接线盒（箱）内。</w:t>
      </w:r>
    </w:p>
    <w:p w14:paraId="2340CA51">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管内导线包括绝缘层在内的总截面积不大于管子内空截面积的 40％。</w:t>
      </w:r>
    </w:p>
    <w:p w14:paraId="5400BEC1">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rPr>
        <w:t>接头连接和终端连接</w:t>
      </w:r>
      <w:r>
        <w:rPr>
          <w:rFonts w:hint="eastAsia" w:ascii="宋体" w:hAnsi="宋体" w:eastAsia="宋体" w:cs="宋体"/>
          <w:color w:val="auto"/>
          <w:kern w:val="2"/>
          <w:sz w:val="24"/>
          <w:szCs w:val="24"/>
          <w:lang w:val="en-US" w:eastAsia="zh-CN"/>
        </w:rPr>
        <w:t>:</w:t>
      </w:r>
    </w:p>
    <w:p w14:paraId="3BA2DDA3">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电力电缆终端头的制作，必须按制造厂提供的详图由熟悉制作工艺的人员进行。</w:t>
      </w:r>
    </w:p>
    <w:p w14:paraId="721D8E41">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低压电缆终端头采用绝缘胶带包扎密封。</w:t>
      </w:r>
    </w:p>
    <w:p w14:paraId="72E73DDC">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电缆在最终连接前，进行导通性和绝缘性测试，中压电缆按 MLD-01-F-60-001 规定做直流耐压试验。</w:t>
      </w:r>
    </w:p>
    <w:p w14:paraId="19C79B0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p>
    <w:p w14:paraId="2C3D10A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bookmarkStart w:id="223" w:name="_Toc449453946"/>
      <w:bookmarkStart w:id="224" w:name="_Toc45198499"/>
      <w:bookmarkStart w:id="225" w:name="_Toc423897287"/>
      <w:bookmarkStart w:id="226" w:name="_Toc426148479"/>
      <w:bookmarkStart w:id="227" w:name="_Toc520671493"/>
      <w:bookmarkStart w:id="228" w:name="_Toc520563395"/>
      <w:bookmarkStart w:id="229" w:name="_Toc448153460"/>
      <w:bookmarkStart w:id="230" w:name="_Toc427834231"/>
      <w:r>
        <w:rPr>
          <w:rFonts w:hint="eastAsia" w:ascii="宋体" w:hAnsi="宋体" w:eastAsia="宋体" w:cs="宋体"/>
          <w:color w:val="auto"/>
          <w:kern w:val="2"/>
          <w:sz w:val="24"/>
          <w:szCs w:val="24"/>
        </w:rPr>
        <w:t>通信线缆敷设</w:t>
      </w:r>
      <w:bookmarkEnd w:id="223"/>
      <w:bookmarkEnd w:id="224"/>
      <w:bookmarkEnd w:id="225"/>
      <w:bookmarkEnd w:id="226"/>
      <w:bookmarkEnd w:id="227"/>
      <w:bookmarkEnd w:id="228"/>
      <w:bookmarkEnd w:id="229"/>
      <w:bookmarkEnd w:id="230"/>
      <w:r>
        <w:rPr>
          <w:rFonts w:hint="eastAsia" w:ascii="宋体" w:hAnsi="宋体" w:eastAsia="宋体" w:cs="宋体"/>
          <w:color w:val="auto"/>
          <w:kern w:val="2"/>
          <w:sz w:val="24"/>
          <w:szCs w:val="24"/>
          <w:shd w:val="clear" w:color="auto" w:fill="auto"/>
          <w:lang w:val="en-US" w:eastAsia="zh-CN"/>
        </w:rPr>
        <w:t>:</w:t>
      </w:r>
    </w:p>
    <w:p w14:paraId="3DB436D3">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（1）光缆将按实际长度铺设，铺设时不超过光缆厂家规定的牵引张力和弯曲半径的要求。在铺设光缆之前，每个管道要用合适的方法清理。</w:t>
      </w:r>
    </w:p>
    <w:p w14:paraId="45A80EEC">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（2）光缆在人孔井外十分清洁的环境中接续。光缆接续采用熔接法，光缆接头应配有单独的接头护套。</w:t>
      </w:r>
    </w:p>
    <w:p w14:paraId="5B515E81">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（3）备有备用光缆并装在光缆接头盒的托盘上，放在托盘上的光纤不应产生微弯曲损耗。每根光缆在1310nm波长的接头损耗不超过0.ldB。</w:t>
      </w:r>
    </w:p>
    <w:p w14:paraId="5BA374D8">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（4）在所有光缆需要分歧或分配出与单独终端单元相连的光纤接头应使用接头盒保护；接头盒的设计应易于安装。</w:t>
      </w:r>
    </w:p>
    <w:p w14:paraId="28C6779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（5）接头盒应为光缆接头提供一个密闭的、防潮的环境。接头盒应能重新进入，以便维修和满足其它工作要求。</w:t>
      </w:r>
    </w:p>
    <w:p w14:paraId="60E6654B">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（6）接头牢固地安装在每个人孔中。接头应安装在尽可能高处，以免浸水。</w:t>
      </w:r>
    </w:p>
    <w:p w14:paraId="01C8EA1B">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（7）每根光缆端接在光缆终端和接线板上，光缆应在每个站端接。接线板的容量足以端接所有室外光纤。进局光缆有标志，以区别其它电缆。</w:t>
      </w:r>
    </w:p>
    <w:p w14:paraId="2DB2AF7A">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（8）设备侧的光缆长度应作适当预留，一股为10~20m，可存在光端机室或进线室。进局光缆的弯曲半径不应太小，以免产生微弯曲损耗。</w:t>
      </w:r>
    </w:p>
    <w:p w14:paraId="3F7BAE83">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rPr>
        <w:t>光缆接续及测试</w:t>
      </w:r>
      <w:r>
        <w:rPr>
          <w:rFonts w:hint="eastAsia" w:ascii="宋体" w:hAnsi="宋体" w:eastAsia="宋体" w:cs="宋体"/>
          <w:color w:val="auto"/>
          <w:kern w:val="2"/>
          <w:sz w:val="24"/>
          <w:szCs w:val="24"/>
          <w:lang w:val="en-US" w:eastAsia="zh-CN"/>
        </w:rPr>
        <w:t>:</w:t>
      </w:r>
    </w:p>
    <w:p w14:paraId="06E2A718">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（1）通信光缆接续工艺流程</w:t>
      </w:r>
    </w:p>
    <w:p w14:paraId="4030EC7B">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1）在接续过程中通过 OTDR 监测，以确保光纤持续质量。</w:t>
      </w:r>
    </w:p>
    <w:p w14:paraId="2FECFD5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2）中继段测试采用 OTDR 和介入法两种方法测试。</w:t>
      </w:r>
    </w:p>
    <w:p w14:paraId="31BF66C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（2）操作要求</w:t>
      </w:r>
    </w:p>
    <w:p w14:paraId="16D6529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1）清理场地、塔置防尘帐篷，准备好工具、材料；</w:t>
      </w:r>
    </w:p>
    <w:p w14:paraId="372AEEC1">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2）切断光缆缆芯，但不得用钢锯，必须用电缆剪刀；</w:t>
      </w:r>
    </w:p>
    <w:p w14:paraId="051626A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3）光缆余留及切割尺寸，弯曲半径等应符合规定；光纤接续操作时，操作人员应穿作业服、戴作业帽、工作手套；</w:t>
      </w:r>
    </w:p>
    <w:p w14:paraId="3DD6760B">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4）将待接续光纤被覆层擦干净，以免弄脏加强保护热熔管和熔接机后面。接续过程中应特别注意清洁，尤其是环境条件及操作人员的双手；</w:t>
      </w:r>
    </w:p>
    <w:p w14:paraId="677B4A80">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5）用剥除器剥除光纤被覆，用丙酮将裸光纤擦净，用光纤切割器切出端面，端面不合格时需重新切割；</w:t>
      </w:r>
    </w:p>
    <w:p w14:paraId="7FE60DC7">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6）监视光纤熔接测定值及仔细观察接续图像有无缺陷情况，如不合格则重新制备光纤端面，再次接续，直到合格为止；</w:t>
      </w:r>
    </w:p>
    <w:p w14:paraId="37AB801B">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7）接续好的光线从容阶级取出时，注意动作要慢，移动加强保护热熔管位置应适中，收缩后两端应包住光纤的被覆层不小于10mm；</w:t>
      </w:r>
    </w:p>
    <w:p w14:paraId="495E6C8A">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8）光纤收容时注意弯曲半径应不小于40mm；</w:t>
      </w:r>
    </w:p>
    <w:p w14:paraId="685B9650">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9）接头盒内壁、密封条、槽等应用酒精擦拭干净，组装时应严格按操作规程进行。</w:t>
      </w:r>
    </w:p>
    <w:p w14:paraId="5AD7473A">
      <w:pPr>
        <w:pageBreakBefore w:val="0"/>
        <w:kinsoku/>
        <w:wordWrap/>
        <w:overflowPunct/>
        <w:topLinePunct w:val="0"/>
        <w:autoSpaceDE/>
        <w:autoSpaceDN/>
        <w:bidi w:val="0"/>
        <w:spacing w:line="440" w:lineRule="exact"/>
        <w:ind w:firstLine="482" w:firstLineChars="200"/>
        <w:jc w:val="left"/>
        <w:rPr>
          <w:rFonts w:hint="eastAsia" w:ascii="宋体" w:hAnsi="宋体" w:eastAsia="宋体" w:cs="宋体"/>
          <w:color w:val="auto"/>
          <w:kern w:val="2"/>
          <w:sz w:val="24"/>
          <w:szCs w:val="24"/>
        </w:rPr>
      </w:pPr>
      <w:r>
        <w:rPr>
          <w:rFonts w:hint="eastAsia" w:ascii="宋体" w:hAnsi="宋体" w:eastAsia="宋体" w:cs="宋体"/>
          <w:b/>
          <w:bCs/>
          <w:color w:val="auto"/>
          <w:kern w:val="2"/>
          <w:sz w:val="24"/>
          <w:szCs w:val="24"/>
        </w:rPr>
        <w:t>3.</w:t>
      </w:r>
      <w:r>
        <w:rPr>
          <w:rFonts w:hint="eastAsia" w:ascii="宋体" w:hAnsi="宋体" w:eastAsia="宋体" w:cs="宋体"/>
          <w:b/>
          <w:bCs/>
          <w:color w:val="auto"/>
          <w:kern w:val="2"/>
          <w:sz w:val="24"/>
          <w:szCs w:val="24"/>
          <w:lang w:val="en-US" w:eastAsia="zh-CN"/>
        </w:rPr>
        <w:t>7</w:t>
      </w:r>
      <w:r>
        <w:rPr>
          <w:rFonts w:hint="eastAsia" w:ascii="宋体" w:hAnsi="宋体" w:eastAsia="宋体" w:cs="宋体"/>
          <w:b/>
          <w:bCs/>
          <w:color w:val="auto"/>
          <w:kern w:val="2"/>
          <w:sz w:val="24"/>
          <w:szCs w:val="24"/>
        </w:rPr>
        <w:t>.</w:t>
      </w:r>
      <w:r>
        <w:rPr>
          <w:rFonts w:hint="eastAsia" w:ascii="宋体" w:hAnsi="宋体" w:eastAsia="宋体" w:cs="宋体"/>
          <w:b/>
          <w:bCs/>
          <w:color w:val="auto"/>
          <w:kern w:val="2"/>
          <w:sz w:val="24"/>
          <w:szCs w:val="24"/>
          <w:lang w:val="en-US" w:eastAsia="zh-CN"/>
        </w:rPr>
        <w:t>4</w:t>
      </w:r>
      <w:r>
        <w:rPr>
          <w:rFonts w:hint="eastAsia" w:ascii="宋体" w:hAnsi="宋体" w:eastAsia="宋体" w:cs="宋体"/>
          <w:b/>
          <w:bCs/>
          <w:color w:val="auto"/>
          <w:kern w:val="2"/>
          <w:sz w:val="24"/>
          <w:szCs w:val="24"/>
        </w:rPr>
        <w:t xml:space="preserve"> 杆件设计</w:t>
      </w:r>
    </w:p>
    <w:p w14:paraId="42BDDF4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独立立杆式样应充分考虑美观及与周边环境的协调，立杆横臂长度根据安装点位所要实现的功能而定，须符合道路或场所的整体视觉效果，具体式样及颜色须经采购方确认。</w:t>
      </w:r>
    </w:p>
    <w:p w14:paraId="4087556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立杆净高度不低于道路净高要求，立杆横臂根据实际需要确定,立杆应满足如下条件：</w:t>
      </w:r>
    </w:p>
    <w:p w14:paraId="53E6F6B7">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底座：采用不低于A3型的钢板。</w:t>
      </w:r>
    </w:p>
    <w:p w14:paraId="44FD3B4A">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立杆采用Q235钢材，镀层厚度≥60μm，达到双重防锈、防腐的目的。</w:t>
      </w:r>
    </w:p>
    <w:p w14:paraId="2D663D4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立杆施工时，需同步完成接地的安装。</w:t>
      </w:r>
    </w:p>
    <w:p w14:paraId="0F6944BA">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立杆要求抗风等级达到12级。</w:t>
      </w:r>
    </w:p>
    <w:p w14:paraId="107A3D2F">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基础地笼要求：</w:t>
      </w:r>
    </w:p>
    <w:p w14:paraId="33B8336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（1）M18、M20、M22、M24、M26、M28、M30螺纹钢。钢筋采用HRB400；基础混凝土为C25。</w:t>
      </w:r>
    </w:p>
    <w:p w14:paraId="2EF3B601">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（2）钢构件连接板材质应为Q235B，其力学性能和化学成分应符合《碳素结构钢》（GB/T700-2006）的规定。</w:t>
      </w:r>
    </w:p>
    <w:p w14:paraId="6A6FE627">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（3）地基承载力特征值不小于120kPa。基础设计时取地基承载力fak=120kPa。基础应坐落于好土层上。若好土层位置较深，则应采取粘土换填，换填至设计标高，换填深度为0.6m，压实系数为0.97。</w:t>
      </w:r>
    </w:p>
    <w:p w14:paraId="70EBB05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（4）地脚螺栓外露部分及螺母和垫块宜事先进行热浸镀锌处理，镀锌量为350g/m 。</w:t>
      </w:r>
    </w:p>
    <w:p w14:paraId="2EADA397">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（5）钢结构的安装应按照《GB50205-2001》、《JG144-2016》进行。</w:t>
      </w:r>
    </w:p>
    <w:p w14:paraId="30C5FAD1">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（6）基础范围内的上部及周边的回填土应用粘土分层压实回填，压实系数为0.94。</w:t>
      </w:r>
    </w:p>
    <w:p w14:paraId="22F184EA">
      <w:pPr>
        <w:pageBreakBefore w:val="0"/>
        <w:kinsoku/>
        <w:wordWrap/>
        <w:overflowPunct/>
        <w:topLinePunct w:val="0"/>
        <w:autoSpaceDE/>
        <w:autoSpaceDN/>
        <w:bidi w:val="0"/>
        <w:spacing w:line="440" w:lineRule="exact"/>
        <w:ind w:firstLine="482" w:firstLineChars="200"/>
        <w:jc w:val="left"/>
        <w:rPr>
          <w:rFonts w:hint="eastAsia" w:ascii="宋体" w:hAnsi="宋体" w:eastAsia="宋体" w:cs="宋体"/>
          <w:color w:val="auto"/>
          <w:kern w:val="2"/>
          <w:sz w:val="24"/>
          <w:szCs w:val="24"/>
        </w:rPr>
      </w:pPr>
      <w:r>
        <w:rPr>
          <w:rFonts w:hint="eastAsia" w:ascii="宋体" w:hAnsi="宋体" w:eastAsia="宋体" w:cs="宋体"/>
          <w:b/>
          <w:bCs/>
          <w:color w:val="auto"/>
          <w:kern w:val="2"/>
          <w:sz w:val="24"/>
          <w:szCs w:val="24"/>
        </w:rPr>
        <w:t>3.</w:t>
      </w:r>
      <w:r>
        <w:rPr>
          <w:rFonts w:hint="eastAsia" w:ascii="宋体" w:hAnsi="宋体" w:eastAsia="宋体" w:cs="宋体"/>
          <w:b/>
          <w:bCs/>
          <w:color w:val="auto"/>
          <w:kern w:val="2"/>
          <w:sz w:val="24"/>
          <w:szCs w:val="24"/>
          <w:lang w:val="en-US" w:eastAsia="zh-CN"/>
        </w:rPr>
        <w:t>7</w:t>
      </w:r>
      <w:r>
        <w:rPr>
          <w:rFonts w:hint="eastAsia" w:ascii="宋体" w:hAnsi="宋体" w:eastAsia="宋体" w:cs="宋体"/>
          <w:b/>
          <w:bCs/>
          <w:color w:val="auto"/>
          <w:kern w:val="2"/>
          <w:sz w:val="24"/>
          <w:szCs w:val="24"/>
        </w:rPr>
        <w:t>.</w:t>
      </w:r>
      <w:r>
        <w:rPr>
          <w:rFonts w:hint="eastAsia" w:ascii="宋体" w:hAnsi="宋体" w:eastAsia="宋体" w:cs="宋体"/>
          <w:b/>
          <w:bCs/>
          <w:color w:val="auto"/>
          <w:kern w:val="2"/>
          <w:sz w:val="24"/>
          <w:szCs w:val="24"/>
          <w:lang w:val="en-US" w:eastAsia="zh-CN"/>
        </w:rPr>
        <w:t>5</w:t>
      </w:r>
      <w:r>
        <w:rPr>
          <w:rFonts w:hint="eastAsia" w:ascii="宋体" w:hAnsi="宋体" w:eastAsia="宋体" w:cs="宋体"/>
          <w:b/>
          <w:bCs/>
          <w:color w:val="auto"/>
          <w:kern w:val="2"/>
          <w:sz w:val="24"/>
          <w:szCs w:val="24"/>
        </w:rPr>
        <w:t xml:space="preserve"> </w:t>
      </w:r>
      <w:r>
        <w:rPr>
          <w:rFonts w:hint="eastAsia" w:ascii="宋体" w:hAnsi="宋体" w:eastAsia="宋体" w:cs="宋体"/>
          <w:b/>
          <w:bCs/>
          <w:color w:val="auto"/>
          <w:kern w:val="2"/>
          <w:sz w:val="24"/>
          <w:szCs w:val="24"/>
          <w:lang w:val="en-US" w:eastAsia="zh-CN"/>
        </w:rPr>
        <w:t>箱体</w:t>
      </w:r>
      <w:r>
        <w:rPr>
          <w:rFonts w:hint="eastAsia" w:ascii="宋体" w:hAnsi="宋体" w:eastAsia="宋体" w:cs="宋体"/>
          <w:b/>
          <w:bCs/>
          <w:color w:val="auto"/>
          <w:kern w:val="2"/>
          <w:sz w:val="24"/>
          <w:szCs w:val="24"/>
        </w:rPr>
        <w:t>设计</w:t>
      </w:r>
    </w:p>
    <w:p w14:paraId="35864DFC">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（1）机箱内强、弱电应分层隔开，内部各种线缆应固定可靠。</w:t>
      </w:r>
    </w:p>
    <w:p w14:paraId="1A16A071">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抗外界干扰功能:采用了防强电磁干扰机箱，并按照相应标准采取的密封措施，系统外场所有设备和防护罩都做过防绣、防腐蚀处理，各部件外表光洁、平整，无凹痕、划伤、裂缝、变形等缺陷，系统内部电路板在安装调试时也做防潮、防雾和腐处理，在24小时全天候的工作时间，防雨、防尘、防雷、防震和抗电磁干扰，以防止系统因此造成的故障。</w:t>
      </w:r>
    </w:p>
    <w:p w14:paraId="0936C38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（3）地面安装的落地箱柜基础应高出地面(200mm)，以免积水。</w:t>
      </w:r>
    </w:p>
    <w:p w14:paraId="57743291">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（4）进入箱柜内的各类保护管应高出基础底面(100mm)。</w:t>
      </w:r>
    </w:p>
    <w:p w14:paraId="43C4E70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（5）配电箱与设备箱分开设置，尺寸高度与路口信号箱保持一致。</w:t>
      </w:r>
    </w:p>
    <w:p w14:paraId="5422A8FB">
      <w:pPr>
        <w:pageBreakBefore w:val="0"/>
        <w:kinsoku/>
        <w:wordWrap/>
        <w:overflowPunct/>
        <w:topLinePunct w:val="0"/>
        <w:autoSpaceDE/>
        <w:autoSpaceDN/>
        <w:bidi w:val="0"/>
        <w:spacing w:line="440" w:lineRule="exact"/>
        <w:ind w:firstLine="482" w:firstLineChars="200"/>
        <w:jc w:val="left"/>
        <w:rPr>
          <w:rFonts w:hint="eastAsia" w:ascii="宋体" w:hAnsi="宋体" w:eastAsia="宋体" w:cs="宋体"/>
          <w:color w:val="auto"/>
          <w:kern w:val="2"/>
          <w:sz w:val="24"/>
          <w:szCs w:val="24"/>
        </w:rPr>
      </w:pPr>
      <w:r>
        <w:rPr>
          <w:rFonts w:hint="eastAsia" w:ascii="宋体" w:hAnsi="宋体" w:eastAsia="宋体" w:cs="宋体"/>
          <w:b/>
          <w:bCs/>
          <w:color w:val="auto"/>
          <w:kern w:val="2"/>
          <w:sz w:val="24"/>
          <w:szCs w:val="24"/>
        </w:rPr>
        <w:t>3.</w:t>
      </w:r>
      <w:r>
        <w:rPr>
          <w:rFonts w:hint="eastAsia" w:ascii="宋体" w:hAnsi="宋体" w:eastAsia="宋体" w:cs="宋体"/>
          <w:b/>
          <w:bCs/>
          <w:color w:val="auto"/>
          <w:kern w:val="2"/>
          <w:sz w:val="24"/>
          <w:szCs w:val="24"/>
          <w:lang w:val="en-US" w:eastAsia="zh-CN"/>
        </w:rPr>
        <w:t>7</w:t>
      </w:r>
      <w:r>
        <w:rPr>
          <w:rFonts w:hint="eastAsia" w:ascii="宋体" w:hAnsi="宋体" w:eastAsia="宋体" w:cs="宋体"/>
          <w:b/>
          <w:bCs/>
          <w:color w:val="auto"/>
          <w:kern w:val="2"/>
          <w:sz w:val="24"/>
          <w:szCs w:val="24"/>
        </w:rPr>
        <w:t>.</w:t>
      </w:r>
      <w:r>
        <w:rPr>
          <w:rFonts w:hint="eastAsia" w:ascii="宋体" w:hAnsi="宋体" w:eastAsia="宋体" w:cs="宋体"/>
          <w:b/>
          <w:bCs/>
          <w:color w:val="auto"/>
          <w:kern w:val="2"/>
          <w:sz w:val="24"/>
          <w:szCs w:val="24"/>
          <w:lang w:val="en-US" w:eastAsia="zh-CN"/>
        </w:rPr>
        <w:t>6</w:t>
      </w:r>
      <w:r>
        <w:rPr>
          <w:rFonts w:hint="eastAsia" w:ascii="宋体" w:hAnsi="宋体" w:eastAsia="宋体" w:cs="宋体"/>
          <w:b/>
          <w:bCs/>
          <w:color w:val="auto"/>
          <w:kern w:val="2"/>
          <w:sz w:val="24"/>
          <w:szCs w:val="24"/>
        </w:rPr>
        <w:t xml:space="preserve"> 杆件防雷接地</w:t>
      </w:r>
    </w:p>
    <w:p w14:paraId="007072EE">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设备有要求时应进行工作接地、所有配套的外露金属设施构件都应按照IEC 的有关规定进行综合接地处理，接地电阻必须小于设备规定的工作接地和安全接地电阻，综合接地电阻≤4Ω。</w:t>
      </w:r>
    </w:p>
    <w:p w14:paraId="5E60520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所有接地极的接地电阻将进行测量；经测量达不到要求时，将在接地极回填土中加入无腐蚀性长效降阻剂；当仍达不到要求时，将经过业主同意，采用更换接地装置的措施。</w:t>
      </w:r>
    </w:p>
    <w:p w14:paraId="2602FDA2">
      <w:pPr>
        <w:keepNext/>
        <w:keepLines/>
        <w:pageBreakBefore w:val="0"/>
        <w:widowControl/>
        <w:kinsoku/>
        <w:wordWrap/>
        <w:overflowPunct/>
        <w:topLinePunct w:val="0"/>
        <w:autoSpaceDE/>
        <w:autoSpaceDN/>
        <w:bidi w:val="0"/>
        <w:adjustRightInd w:val="0"/>
        <w:spacing w:line="440" w:lineRule="exact"/>
        <w:ind w:firstLine="482" w:firstLineChars="200"/>
        <w:jc w:val="left"/>
        <w:textAlignment w:val="baseline"/>
        <w:outlineLvl w:val="0"/>
        <w:rPr>
          <w:rFonts w:hint="eastAsia" w:ascii="宋体" w:hAnsi="宋体" w:eastAsia="宋体" w:cs="宋体"/>
          <w:bCs w:val="0"/>
          <w:color w:val="auto"/>
          <w:kern w:val="44"/>
          <w:sz w:val="24"/>
          <w:szCs w:val="24"/>
          <w:lang w:val="en-US" w:eastAsia="zh-CN" w:bidi="ar-SA"/>
        </w:rPr>
      </w:pPr>
      <w:bookmarkStart w:id="231" w:name="_Toc20548"/>
      <w:r>
        <w:rPr>
          <w:rFonts w:hint="eastAsia" w:ascii="宋体" w:hAnsi="宋体" w:eastAsia="宋体" w:cs="宋体"/>
          <w:b/>
          <w:bCs/>
          <w:color w:val="auto"/>
          <w:kern w:val="44"/>
          <w:sz w:val="24"/>
          <w:szCs w:val="24"/>
          <w:lang w:val="en-US" w:eastAsia="zh-CN" w:bidi="ar-SA"/>
        </w:rPr>
        <w:t>四、项目组织机构和人员</w:t>
      </w:r>
      <w:bookmarkEnd w:id="231"/>
    </w:p>
    <w:p w14:paraId="5BC8E56D">
      <w:pPr>
        <w:keepNext/>
        <w:keepLines/>
        <w:pageBreakBefore w:val="0"/>
        <w:widowControl/>
        <w:tabs>
          <w:tab w:val="left" w:pos="756"/>
        </w:tabs>
        <w:kinsoku/>
        <w:wordWrap/>
        <w:overflowPunct/>
        <w:topLinePunct w:val="0"/>
        <w:autoSpaceDE/>
        <w:autoSpaceDN/>
        <w:bidi w:val="0"/>
        <w:spacing w:line="440" w:lineRule="exact"/>
        <w:ind w:firstLine="480" w:firstLineChars="200"/>
        <w:jc w:val="left"/>
        <w:outlineLvl w:val="1"/>
        <w:rPr>
          <w:rFonts w:hint="eastAsia" w:ascii="宋体" w:hAnsi="宋体" w:eastAsia="宋体" w:cs="宋体"/>
          <w:color w:val="auto"/>
          <w:kern w:val="2"/>
          <w:sz w:val="24"/>
          <w:szCs w:val="24"/>
          <w:lang w:val="en-US" w:eastAsia="zh-CN" w:bidi="ar-SA"/>
        </w:rPr>
      </w:pPr>
      <w:bookmarkStart w:id="232" w:name="_Toc9643"/>
      <w:r>
        <w:rPr>
          <w:rFonts w:hint="eastAsia" w:ascii="宋体" w:hAnsi="宋体" w:eastAsia="宋体" w:cs="宋体"/>
          <w:color w:val="auto"/>
          <w:kern w:val="2"/>
          <w:sz w:val="24"/>
          <w:szCs w:val="24"/>
          <w:lang w:val="en-US" w:eastAsia="zh-CN" w:bidi="ar-SA"/>
        </w:rPr>
        <w:t>1  领导和管理机构</w:t>
      </w:r>
      <w:bookmarkEnd w:id="232"/>
    </w:p>
    <w:p w14:paraId="3348A92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highlight w:val="yellow"/>
        </w:rPr>
      </w:pPr>
      <w:r>
        <w:rPr>
          <w:rFonts w:hint="eastAsia" w:ascii="宋体" w:hAnsi="宋体" w:eastAsia="宋体" w:cs="宋体"/>
          <w:color w:val="auto"/>
          <w:kern w:val="2"/>
          <w:sz w:val="24"/>
          <w:szCs w:val="24"/>
        </w:rPr>
        <w:t>本项目成立专门项目领导小组，加强项目建设的统筹协调、指导督导，推动解决项目建设工作中的存在的重大问题。</w:t>
      </w:r>
    </w:p>
    <w:p w14:paraId="058DBE98">
      <w:pPr>
        <w:keepNext/>
        <w:keepLines/>
        <w:pageBreakBefore w:val="0"/>
        <w:widowControl/>
        <w:tabs>
          <w:tab w:val="left" w:pos="756"/>
        </w:tabs>
        <w:kinsoku/>
        <w:wordWrap/>
        <w:overflowPunct/>
        <w:topLinePunct w:val="0"/>
        <w:autoSpaceDE/>
        <w:autoSpaceDN/>
        <w:bidi w:val="0"/>
        <w:spacing w:line="440" w:lineRule="exact"/>
        <w:ind w:firstLine="480" w:firstLineChars="200"/>
        <w:jc w:val="left"/>
        <w:outlineLvl w:val="1"/>
        <w:rPr>
          <w:rFonts w:hint="eastAsia" w:ascii="宋体" w:hAnsi="宋体" w:eastAsia="宋体" w:cs="宋体"/>
          <w:color w:val="auto"/>
          <w:kern w:val="2"/>
          <w:sz w:val="24"/>
          <w:szCs w:val="24"/>
          <w:lang w:val="en-US" w:eastAsia="zh-CN" w:bidi="ar-SA"/>
        </w:rPr>
      </w:pPr>
      <w:bookmarkStart w:id="233" w:name="_Toc16280"/>
      <w:r>
        <w:rPr>
          <w:rFonts w:hint="eastAsia" w:ascii="宋体" w:hAnsi="宋体" w:eastAsia="宋体" w:cs="宋体"/>
          <w:color w:val="auto"/>
          <w:kern w:val="2"/>
          <w:sz w:val="24"/>
          <w:szCs w:val="24"/>
          <w:lang w:val="en-US" w:eastAsia="zh-CN" w:bidi="ar-SA"/>
        </w:rPr>
        <w:t>2  项目实施机构</w:t>
      </w:r>
      <w:bookmarkEnd w:id="233"/>
    </w:p>
    <w:p w14:paraId="26627CFE">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b/>
          <w:bCs/>
          <w:color w:val="auto"/>
          <w:kern w:val="2"/>
          <w:sz w:val="24"/>
          <w:szCs w:val="24"/>
        </w:rPr>
      </w:pPr>
      <w:r>
        <w:rPr>
          <w:rFonts w:hint="eastAsia" w:ascii="宋体" w:hAnsi="宋体" w:eastAsia="宋体" w:cs="宋体"/>
          <w:color w:val="auto"/>
          <w:kern w:val="2"/>
          <w:sz w:val="24"/>
          <w:szCs w:val="24"/>
        </w:rPr>
        <w:t>本项目实施机构主要由业主单位的各相关部门、承建单位和监理单位共同组成。项目实施机构职责：具体负责本项目的实施过程中的协调、安装、调试、试运行、验收等工作，保证项目按时高质量地交付使用。</w:t>
      </w:r>
    </w:p>
    <w:p w14:paraId="66B02794">
      <w:pPr>
        <w:keepNext/>
        <w:keepLines/>
        <w:pageBreakBefore w:val="0"/>
        <w:widowControl/>
        <w:tabs>
          <w:tab w:val="left" w:pos="756"/>
        </w:tabs>
        <w:kinsoku/>
        <w:wordWrap/>
        <w:overflowPunct/>
        <w:topLinePunct w:val="0"/>
        <w:autoSpaceDE/>
        <w:autoSpaceDN/>
        <w:bidi w:val="0"/>
        <w:spacing w:line="440" w:lineRule="exact"/>
        <w:ind w:firstLine="480" w:firstLineChars="200"/>
        <w:jc w:val="left"/>
        <w:outlineLvl w:val="1"/>
        <w:rPr>
          <w:rFonts w:hint="eastAsia" w:ascii="宋体" w:hAnsi="宋体" w:eastAsia="宋体" w:cs="宋体"/>
          <w:color w:val="auto"/>
          <w:kern w:val="2"/>
          <w:sz w:val="24"/>
          <w:szCs w:val="24"/>
          <w:lang w:val="en-US" w:eastAsia="zh-CN" w:bidi="ar-SA"/>
        </w:rPr>
      </w:pPr>
      <w:bookmarkStart w:id="234" w:name="_Toc31191"/>
      <w:r>
        <w:rPr>
          <w:rFonts w:hint="eastAsia" w:ascii="宋体" w:hAnsi="宋体" w:eastAsia="宋体" w:cs="宋体"/>
          <w:color w:val="auto"/>
          <w:kern w:val="2"/>
          <w:sz w:val="24"/>
          <w:szCs w:val="24"/>
          <w:lang w:val="en-US" w:eastAsia="zh-CN" w:bidi="ar-SA"/>
        </w:rPr>
        <w:t>3  人员培训需求和计划</w:t>
      </w:r>
      <w:bookmarkEnd w:id="234"/>
    </w:p>
    <w:p w14:paraId="431637B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为保证项目建设质量，更好地满足系统应用的需要，特制定以下培训方案：</w:t>
      </w:r>
    </w:p>
    <w:p w14:paraId="2DDC9573">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（1）培训计划</w:t>
      </w:r>
    </w:p>
    <w:p w14:paraId="0FDFE637">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系统管理员培训：掌握系统日常维护各种技术，熟练掌握对网络管理和维护、硬件管理和维护、应用系统的管理和维护以及安全管理等。</w:t>
      </w:r>
    </w:p>
    <w:p w14:paraId="208E9CBB">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技术人员培训：通过各种的培训方式，使项目系统技术人员掌握视频系统、网络系统等技术，具备一定的维护能力，在系统实施过程中能够参与项目管理和系统搭建，在系统维护过程中能够自行维护。</w:t>
      </w:r>
    </w:p>
    <w:p w14:paraId="79B194DC">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系统操作员培训：能够熟练使用系统各类前台操作模块、快速调用相关业务处理模块并规范输入各种信息。</w:t>
      </w:r>
    </w:p>
    <w:p w14:paraId="04431217">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（2）培训主要内容</w:t>
      </w:r>
    </w:p>
    <w:p w14:paraId="7876D98C">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培训主要内容有：前端点位勘察、系统应用、软硬件的运行与维护、网络和安全管理等。</w:t>
      </w:r>
    </w:p>
    <w:p w14:paraId="3A8478EA">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（3）培训主要方式</w:t>
      </w:r>
    </w:p>
    <w:p w14:paraId="025DD652">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室内培训：对专业运维人员分批集中进行培训，承建单位免费提供培训教材及师资。</w:t>
      </w:r>
    </w:p>
    <w:p w14:paraId="2383B5BE">
      <w:pPr>
        <w:pageBreakBefore w:val="0"/>
        <w:tabs>
          <w:tab w:val="left" w:pos="0"/>
        </w:tabs>
        <w:kinsoku/>
        <w:wordWrap/>
        <w:overflowPunct/>
        <w:topLinePunct w:val="0"/>
        <w:autoSpaceDE/>
        <w:autoSpaceDN/>
        <w:bidi w:val="0"/>
        <w:spacing w:line="440" w:lineRule="exact"/>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2"/>
          <w:sz w:val="24"/>
          <w:szCs w:val="24"/>
        </w:rPr>
        <w:t>现场培训：对指定人员独立进行设备的安装、操作、测试、运营、维护等等进行培训，承建单位免费提供培训教材及师资。</w:t>
      </w:r>
    </w:p>
    <w:p w14:paraId="6C15EEDA">
      <w:pPr>
        <w:keepNext/>
        <w:keepLines/>
        <w:pageBreakBefore w:val="0"/>
        <w:widowControl/>
        <w:kinsoku/>
        <w:wordWrap/>
        <w:overflowPunct/>
        <w:topLinePunct w:val="0"/>
        <w:autoSpaceDE/>
        <w:autoSpaceDN/>
        <w:bidi w:val="0"/>
        <w:adjustRightInd w:val="0"/>
        <w:spacing w:line="440" w:lineRule="exact"/>
        <w:ind w:firstLine="482" w:firstLineChars="200"/>
        <w:jc w:val="left"/>
        <w:textAlignment w:val="baseline"/>
        <w:outlineLvl w:val="0"/>
        <w:rPr>
          <w:rFonts w:hint="eastAsia" w:ascii="宋体" w:hAnsi="宋体" w:eastAsia="宋体" w:cs="宋体"/>
          <w:bCs/>
          <w:color w:val="auto"/>
          <w:kern w:val="44"/>
          <w:sz w:val="24"/>
          <w:szCs w:val="24"/>
        </w:rPr>
      </w:pPr>
      <w:bookmarkStart w:id="235" w:name="_Toc869"/>
      <w:bookmarkStart w:id="236" w:name="_Toc131350967"/>
      <w:bookmarkStart w:id="237" w:name="_Toc105623167"/>
      <w:bookmarkStart w:id="238" w:name="_Toc2022"/>
      <w:r>
        <w:rPr>
          <w:rFonts w:hint="eastAsia" w:ascii="宋体" w:hAnsi="宋体" w:eastAsia="宋体" w:cs="宋体"/>
          <w:b/>
          <w:bCs w:val="0"/>
          <w:color w:val="auto"/>
          <w:kern w:val="44"/>
          <w:sz w:val="24"/>
          <w:szCs w:val="24"/>
          <w:lang w:val="en-US" w:eastAsia="zh-CN"/>
        </w:rPr>
        <w:t>五</w:t>
      </w:r>
      <w:r>
        <w:rPr>
          <w:rFonts w:hint="eastAsia" w:ascii="宋体" w:hAnsi="宋体" w:eastAsia="宋体" w:cs="宋体"/>
          <w:b/>
          <w:bCs w:val="0"/>
          <w:color w:val="auto"/>
          <w:kern w:val="44"/>
          <w:sz w:val="24"/>
          <w:szCs w:val="24"/>
        </w:rPr>
        <w:t xml:space="preserve"> </w:t>
      </w:r>
      <w:bookmarkEnd w:id="235"/>
      <w:bookmarkEnd w:id="236"/>
      <w:bookmarkEnd w:id="237"/>
      <w:bookmarkEnd w:id="238"/>
      <w:r>
        <w:rPr>
          <w:rFonts w:hint="eastAsia" w:ascii="宋体" w:hAnsi="宋体" w:eastAsia="宋体" w:cs="宋体"/>
          <w:b/>
          <w:bCs w:val="0"/>
          <w:color w:val="auto"/>
          <w:kern w:val="44"/>
          <w:sz w:val="24"/>
          <w:szCs w:val="24"/>
        </w:rPr>
        <w:t>环保、消防、职业安全卫生和节能措施</w:t>
      </w:r>
    </w:p>
    <w:p w14:paraId="2079181C">
      <w:pPr>
        <w:keepNext/>
        <w:keepLines/>
        <w:pageBreakBefore w:val="0"/>
        <w:widowControl/>
        <w:tabs>
          <w:tab w:val="left" w:pos="756"/>
        </w:tabs>
        <w:kinsoku/>
        <w:wordWrap/>
        <w:overflowPunct/>
        <w:topLinePunct w:val="0"/>
        <w:autoSpaceDE/>
        <w:autoSpaceDN/>
        <w:bidi w:val="0"/>
        <w:spacing w:line="440" w:lineRule="exact"/>
        <w:ind w:firstLine="480" w:firstLineChars="200"/>
        <w:jc w:val="left"/>
        <w:outlineLvl w:val="1"/>
        <w:rPr>
          <w:rFonts w:hint="eastAsia" w:ascii="宋体" w:hAnsi="宋体" w:eastAsia="宋体" w:cs="宋体"/>
          <w:color w:val="auto"/>
          <w:kern w:val="0"/>
          <w:sz w:val="24"/>
          <w:szCs w:val="24"/>
          <w:lang w:val="en-US" w:eastAsia="zh-CN" w:bidi="ar-SA"/>
        </w:rPr>
      </w:pPr>
      <w:bookmarkStart w:id="239" w:name="_Toc4923"/>
      <w:r>
        <w:rPr>
          <w:rFonts w:hint="eastAsia" w:ascii="宋体" w:hAnsi="宋体" w:eastAsia="宋体" w:cs="宋体"/>
          <w:color w:val="auto"/>
          <w:kern w:val="0"/>
          <w:sz w:val="24"/>
          <w:szCs w:val="24"/>
          <w:lang w:val="en-US" w:eastAsia="zh-CN" w:bidi="ar-SA"/>
        </w:rPr>
        <w:t>1  环境保护</w:t>
      </w:r>
      <w:bookmarkEnd w:id="239"/>
    </w:p>
    <w:p w14:paraId="71668A12">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rPr>
        <w:t>工程严格遵循“三同时制度”，将环境保护工作纳入建设计划，并与主体工程同时设计、同时施工、同时投产使用。本期项目设计对设备选型、工艺技术、总体布置、环境保护方面做了周密的考虑，对生产过程中产生的废水、噪声和固体废弃污染物设计了相应的治理和控制措施，使其符合国家排放标准，尽可能将生产对环境带来的影响控制在最小限度之内</w:t>
      </w:r>
      <w:r>
        <w:rPr>
          <w:rFonts w:hint="eastAsia" w:ascii="宋体" w:hAnsi="宋体" w:eastAsia="宋体" w:cs="宋体"/>
          <w:color w:val="auto"/>
          <w:kern w:val="2"/>
          <w:sz w:val="24"/>
          <w:szCs w:val="24"/>
          <w:lang w:eastAsia="zh-CN"/>
        </w:rPr>
        <w:t>。</w:t>
      </w:r>
    </w:p>
    <w:p w14:paraId="609EA7D6">
      <w:pPr>
        <w:keepNext/>
        <w:keepLines/>
        <w:pageBreakBefore w:val="0"/>
        <w:widowControl/>
        <w:kinsoku/>
        <w:wordWrap/>
        <w:overflowPunct/>
        <w:topLinePunct w:val="0"/>
        <w:autoSpaceDE/>
        <w:autoSpaceDN/>
        <w:bidi w:val="0"/>
        <w:spacing w:line="440" w:lineRule="exact"/>
        <w:ind w:firstLine="480" w:firstLineChars="200"/>
        <w:jc w:val="left"/>
        <w:outlineLvl w:val="2"/>
        <w:rPr>
          <w:rFonts w:hint="eastAsia" w:ascii="宋体" w:hAnsi="宋体" w:eastAsia="宋体" w:cs="宋体"/>
          <w:color w:val="auto"/>
          <w:kern w:val="2"/>
          <w:sz w:val="24"/>
          <w:szCs w:val="24"/>
          <w:lang w:val="en-US" w:eastAsia="zh-CN" w:bidi="ar-SA"/>
        </w:rPr>
      </w:pPr>
      <w:bookmarkStart w:id="240" w:name="_Toc15514"/>
      <w:r>
        <w:rPr>
          <w:rFonts w:hint="eastAsia" w:ascii="宋体" w:hAnsi="宋体" w:eastAsia="宋体" w:cs="宋体"/>
          <w:color w:val="auto"/>
          <w:kern w:val="2"/>
          <w:sz w:val="24"/>
          <w:szCs w:val="24"/>
          <w:lang w:val="en-US" w:eastAsia="zh-CN" w:bidi="ar-SA"/>
        </w:rPr>
        <w:t>1.1  光污染控制</w:t>
      </w:r>
      <w:bookmarkEnd w:id="240"/>
    </w:p>
    <w:p w14:paraId="4199A963">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（1）尽量避免或减少施工过程中的光污染。夜间室外照明灯加设灯罩，透光方向集中在施工范围。</w:t>
      </w:r>
    </w:p>
    <w:p w14:paraId="41A76D2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（2）电焊作业采取遮挡措施，避免电焊弧光外泄。</w:t>
      </w:r>
    </w:p>
    <w:p w14:paraId="1CCC9B6C">
      <w:pPr>
        <w:keepNext/>
        <w:keepLines/>
        <w:pageBreakBefore w:val="0"/>
        <w:widowControl/>
        <w:kinsoku/>
        <w:wordWrap/>
        <w:overflowPunct/>
        <w:topLinePunct w:val="0"/>
        <w:autoSpaceDE/>
        <w:autoSpaceDN/>
        <w:bidi w:val="0"/>
        <w:spacing w:line="440" w:lineRule="exact"/>
        <w:ind w:firstLine="480" w:firstLineChars="200"/>
        <w:jc w:val="left"/>
        <w:outlineLvl w:val="2"/>
        <w:rPr>
          <w:rFonts w:hint="eastAsia" w:ascii="宋体" w:hAnsi="宋体" w:eastAsia="宋体" w:cs="宋体"/>
          <w:color w:val="auto"/>
          <w:kern w:val="2"/>
          <w:sz w:val="24"/>
          <w:szCs w:val="24"/>
          <w:lang w:val="en-US" w:eastAsia="zh-CN" w:bidi="ar-SA"/>
        </w:rPr>
      </w:pPr>
      <w:bookmarkStart w:id="241" w:name="_Toc27188"/>
      <w:r>
        <w:rPr>
          <w:rFonts w:hint="eastAsia" w:ascii="宋体" w:hAnsi="宋体" w:eastAsia="宋体" w:cs="宋体"/>
          <w:color w:val="auto"/>
          <w:kern w:val="2"/>
          <w:sz w:val="24"/>
          <w:szCs w:val="24"/>
          <w:lang w:val="en-US" w:eastAsia="zh-CN" w:bidi="ar-SA"/>
        </w:rPr>
        <w:t>1.2  废水、废气污染控制</w:t>
      </w:r>
      <w:bookmarkEnd w:id="241"/>
    </w:p>
    <w:p w14:paraId="6DF8F672">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本项目为信息系统工程，项目建设将依托现有基础设施，不涉及新增的土建项目，系统建成运行后不会产生工业废水、废气等污染物。</w:t>
      </w:r>
    </w:p>
    <w:p w14:paraId="2058948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项目用水环节主要是系统维护人员生活污水。生活污水由现有污水收集管网收集后，进入市政污水处理管网。</w:t>
      </w:r>
    </w:p>
    <w:p w14:paraId="4C6CA03E">
      <w:pPr>
        <w:keepNext/>
        <w:keepLines/>
        <w:pageBreakBefore w:val="0"/>
        <w:widowControl/>
        <w:kinsoku/>
        <w:wordWrap/>
        <w:overflowPunct/>
        <w:topLinePunct w:val="0"/>
        <w:autoSpaceDE/>
        <w:autoSpaceDN/>
        <w:bidi w:val="0"/>
        <w:spacing w:line="440" w:lineRule="exact"/>
        <w:ind w:firstLine="480" w:firstLineChars="200"/>
        <w:jc w:val="left"/>
        <w:outlineLvl w:val="2"/>
        <w:rPr>
          <w:rFonts w:hint="eastAsia" w:ascii="宋体" w:hAnsi="宋体" w:eastAsia="宋体" w:cs="宋体"/>
          <w:color w:val="auto"/>
          <w:kern w:val="2"/>
          <w:sz w:val="24"/>
          <w:szCs w:val="24"/>
          <w:lang w:val="en-US" w:eastAsia="zh-CN" w:bidi="ar-SA"/>
        </w:rPr>
      </w:pPr>
      <w:bookmarkStart w:id="242" w:name="_Toc16116"/>
      <w:r>
        <w:rPr>
          <w:rFonts w:hint="eastAsia" w:ascii="宋体" w:hAnsi="宋体" w:eastAsia="宋体" w:cs="宋体"/>
          <w:color w:val="auto"/>
          <w:kern w:val="2"/>
          <w:sz w:val="24"/>
          <w:szCs w:val="24"/>
          <w:lang w:val="en-US" w:eastAsia="zh-CN" w:bidi="ar-SA"/>
        </w:rPr>
        <w:t>1.3  噪声控制</w:t>
      </w:r>
      <w:bookmarkEnd w:id="242"/>
    </w:p>
    <w:p w14:paraId="36950DAB">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1、信息化建设项目在城市市区范围内向周围生活环境排放的建筑施工噪声，应当符合GB 12523《建筑施工场界环境噪声排放标准》的规定，并符合当地环保部门的相关要求。</w:t>
      </w:r>
    </w:p>
    <w:p w14:paraId="1A2E93D8">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2、在城市范围内的机房，向周围生活环境排放噪声的，应符合GB 12348《工业企业厂界环境噪声排放标准》的相关要求。</w:t>
      </w:r>
    </w:p>
    <w:p w14:paraId="6FC78B3F">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3、根据《通信工程建设环境保护技术暂行规定》规定：必须保持防治环境噪声污染的设施正常使用，拆除或闲置环境噪声污染防治设施应报环境保护行政主管部门批准。</w:t>
      </w:r>
    </w:p>
    <w:p w14:paraId="5C078AF9">
      <w:pPr>
        <w:keepNext/>
        <w:keepLines/>
        <w:pageBreakBefore w:val="0"/>
        <w:widowControl/>
        <w:kinsoku/>
        <w:wordWrap/>
        <w:overflowPunct/>
        <w:topLinePunct w:val="0"/>
        <w:autoSpaceDE/>
        <w:autoSpaceDN/>
        <w:bidi w:val="0"/>
        <w:spacing w:line="440" w:lineRule="exact"/>
        <w:ind w:firstLine="480" w:firstLineChars="200"/>
        <w:jc w:val="left"/>
        <w:outlineLvl w:val="2"/>
        <w:rPr>
          <w:rFonts w:hint="eastAsia" w:ascii="宋体" w:hAnsi="宋体" w:eastAsia="宋体" w:cs="宋体"/>
          <w:color w:val="auto"/>
          <w:kern w:val="2"/>
          <w:sz w:val="24"/>
          <w:szCs w:val="24"/>
          <w:lang w:val="en-US" w:eastAsia="zh-CN" w:bidi="ar-SA"/>
        </w:rPr>
      </w:pPr>
      <w:bookmarkStart w:id="243" w:name="_Toc22530"/>
      <w:r>
        <w:rPr>
          <w:rFonts w:hint="eastAsia" w:ascii="宋体" w:hAnsi="宋体" w:eastAsia="宋体" w:cs="宋体"/>
          <w:color w:val="auto"/>
          <w:kern w:val="2"/>
          <w:sz w:val="24"/>
          <w:szCs w:val="24"/>
          <w:lang w:val="en-US" w:eastAsia="zh-CN" w:bidi="ar-SA"/>
        </w:rPr>
        <w:t>1.4  电磁辐射</w:t>
      </w:r>
      <w:bookmarkEnd w:id="243"/>
    </w:p>
    <w:p w14:paraId="279FFA0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本期工程产生电磁辐射主要为网络设备、服务器和计算机等设备，带来的电磁辐射。本期使用设备电磁辐射能够满足GB 8702-2014《电磁环境控制限值》的相关要求，不产生电磁辐射危害。</w:t>
      </w:r>
    </w:p>
    <w:p w14:paraId="2A164440">
      <w:pPr>
        <w:keepNext/>
        <w:keepLines/>
        <w:pageBreakBefore w:val="0"/>
        <w:widowControl/>
        <w:kinsoku/>
        <w:wordWrap/>
        <w:overflowPunct/>
        <w:topLinePunct w:val="0"/>
        <w:autoSpaceDE/>
        <w:autoSpaceDN/>
        <w:bidi w:val="0"/>
        <w:spacing w:line="440" w:lineRule="exact"/>
        <w:ind w:firstLine="480" w:firstLineChars="200"/>
        <w:jc w:val="left"/>
        <w:outlineLvl w:val="2"/>
        <w:rPr>
          <w:rFonts w:hint="eastAsia" w:ascii="宋体" w:hAnsi="宋体" w:eastAsia="宋体" w:cs="宋体"/>
          <w:color w:val="auto"/>
          <w:kern w:val="2"/>
          <w:sz w:val="24"/>
          <w:szCs w:val="24"/>
          <w:lang w:val="en-US" w:eastAsia="zh-CN" w:bidi="ar-SA"/>
        </w:rPr>
      </w:pPr>
      <w:bookmarkStart w:id="244" w:name="_Toc30492"/>
      <w:r>
        <w:rPr>
          <w:rFonts w:hint="eastAsia" w:ascii="宋体" w:hAnsi="宋体" w:eastAsia="宋体" w:cs="宋体"/>
          <w:color w:val="auto"/>
          <w:kern w:val="2"/>
          <w:sz w:val="24"/>
          <w:szCs w:val="24"/>
          <w:lang w:val="en-US" w:eastAsia="zh-CN" w:bidi="ar-SA"/>
        </w:rPr>
        <w:t>1.5  固体废弃物回收和处置</w:t>
      </w:r>
      <w:bookmarkEnd w:id="244"/>
    </w:p>
    <w:p w14:paraId="58E1629B">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1、工程建设单位和施工单位应采取措施，防止或减少固体废物对环境的污染，施工单位应及时清运施工工程中产生的固体废弃物，并按照环境卫生行政主管部门的规定进行利用或处置。</w:t>
      </w:r>
    </w:p>
    <w:p w14:paraId="144AFA7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2、严禁向江河、湖波、运河、渠道、水库及最高水位线以下的滩地和岸坡倾倒、堆放固体废弃物。</w:t>
      </w:r>
    </w:p>
    <w:p w14:paraId="552D255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3、废旧电池、废矿物油、含汞废日光灯等毒性大、不宜用通用方式进行管理和处置的特殊危险废物，应与生活垃圾分类收集、妥善贮存、安全处置。</w:t>
      </w:r>
    </w:p>
    <w:p w14:paraId="0146ACC1">
      <w:pPr>
        <w:keepNext/>
        <w:keepLines/>
        <w:pageBreakBefore w:val="0"/>
        <w:widowControl/>
        <w:tabs>
          <w:tab w:val="left" w:pos="756"/>
        </w:tabs>
        <w:kinsoku/>
        <w:wordWrap/>
        <w:overflowPunct/>
        <w:topLinePunct w:val="0"/>
        <w:autoSpaceDE/>
        <w:autoSpaceDN/>
        <w:bidi w:val="0"/>
        <w:spacing w:line="440" w:lineRule="exact"/>
        <w:ind w:firstLine="480" w:firstLineChars="200"/>
        <w:jc w:val="left"/>
        <w:outlineLvl w:val="1"/>
        <w:rPr>
          <w:rFonts w:hint="eastAsia" w:ascii="宋体" w:hAnsi="宋体" w:eastAsia="宋体" w:cs="宋体"/>
          <w:color w:val="auto"/>
          <w:kern w:val="0"/>
          <w:sz w:val="24"/>
          <w:szCs w:val="24"/>
          <w:lang w:val="en-US" w:eastAsia="zh-CN" w:bidi="ar-SA"/>
        </w:rPr>
      </w:pPr>
      <w:bookmarkStart w:id="245" w:name="_Toc2670"/>
      <w:r>
        <w:rPr>
          <w:rFonts w:hint="eastAsia" w:ascii="宋体" w:hAnsi="宋体" w:eastAsia="宋体" w:cs="宋体"/>
          <w:color w:val="auto"/>
          <w:kern w:val="0"/>
          <w:sz w:val="24"/>
          <w:szCs w:val="24"/>
          <w:lang w:val="en-US" w:eastAsia="zh-CN" w:bidi="ar-SA"/>
        </w:rPr>
        <w:t>2  绿色节能</w:t>
      </w:r>
      <w:bookmarkEnd w:id="245"/>
    </w:p>
    <w:p w14:paraId="77DC8B3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深入贯彻生态文明思想，以技术创新、管理创新“双轮驱动”企业绿色低碳发展，实现碳达峰、碳中和。通过加强能源节约和生态环境保护，提高网络能效水平，降低成本，实现高质量发展。强化技术创新的引领作用，推广成熟的节能技术和产品，持续提高入网设备的能效水平。</w:t>
      </w:r>
    </w:p>
    <w:p w14:paraId="13630248">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本期设计认真贯彻执行国家现行的有关节约能源及合理利用能源的政策、法规、规范和标准等，遵守国家对能源利用所采取的开发与节约并重的方针，做到“技术上可行、经济上合理”，优先选用国家推荐使用的节能、节材产品，严禁选用国家公布的淘汰型设备；大力推广行之有效的“四新”节能技术。</w:t>
      </w:r>
    </w:p>
    <w:p w14:paraId="185D6FEE">
      <w:pPr>
        <w:keepNext/>
        <w:keepLines/>
        <w:pageBreakBefore w:val="0"/>
        <w:widowControl/>
        <w:kinsoku/>
        <w:wordWrap/>
        <w:overflowPunct/>
        <w:topLinePunct w:val="0"/>
        <w:autoSpaceDE/>
        <w:autoSpaceDN/>
        <w:bidi w:val="0"/>
        <w:spacing w:line="440" w:lineRule="exact"/>
        <w:ind w:firstLine="480" w:firstLineChars="200"/>
        <w:jc w:val="left"/>
        <w:outlineLvl w:val="2"/>
        <w:rPr>
          <w:rFonts w:hint="eastAsia" w:ascii="宋体" w:hAnsi="宋体" w:eastAsia="宋体" w:cs="宋体"/>
          <w:color w:val="auto"/>
          <w:kern w:val="2"/>
          <w:sz w:val="24"/>
          <w:szCs w:val="24"/>
          <w:lang w:val="en-US" w:eastAsia="zh-CN" w:bidi="ar-SA"/>
        </w:rPr>
      </w:pPr>
      <w:bookmarkStart w:id="246" w:name="_Toc12360"/>
      <w:r>
        <w:rPr>
          <w:rFonts w:hint="eastAsia" w:ascii="宋体" w:hAnsi="宋体" w:eastAsia="宋体" w:cs="宋体"/>
          <w:color w:val="auto"/>
          <w:kern w:val="2"/>
          <w:sz w:val="24"/>
          <w:szCs w:val="24"/>
          <w:lang w:val="en-US" w:eastAsia="zh-CN" w:bidi="ar-SA"/>
        </w:rPr>
        <w:t>2.1  设备选择及选型要求</w:t>
      </w:r>
      <w:bookmarkEnd w:id="246"/>
    </w:p>
    <w:p w14:paraId="4D8227FC">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设备选择应遵循节能、节材、节地、环保的原则。主设备选型时应符合以下绿色节能要求：</w:t>
      </w:r>
    </w:p>
    <w:p w14:paraId="189F454F">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1、在满足技术和服务指标的前提下，宜优先选用高度集成化、低功耗、高能效比、具有智能节电功能的设备。</w:t>
      </w:r>
    </w:p>
    <w:p w14:paraId="1A1CAC6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2、在满足设备正常运行、维护要求的基础上，优先选用自然散热产品，减少风扇的使用。</w:t>
      </w:r>
    </w:p>
    <w:p w14:paraId="09AF17D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3、在满足运输安全的前提下，优先选择包装材料轻、绿色环保包装材料，避免过度包装。</w:t>
      </w:r>
    </w:p>
    <w:p w14:paraId="1D2DA59C">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4、在保证网络安全的前提下，适时引入新技术，优化网络设计，简化网络结构，提高网络利用率，避免设备闲置。</w:t>
      </w:r>
    </w:p>
    <w:p w14:paraId="79B18C15">
      <w:pPr>
        <w:keepNext/>
        <w:keepLines/>
        <w:pageBreakBefore w:val="0"/>
        <w:widowControl/>
        <w:tabs>
          <w:tab w:val="left" w:pos="756"/>
        </w:tabs>
        <w:kinsoku/>
        <w:wordWrap/>
        <w:overflowPunct/>
        <w:topLinePunct w:val="0"/>
        <w:autoSpaceDE/>
        <w:autoSpaceDN/>
        <w:bidi w:val="0"/>
        <w:spacing w:line="440" w:lineRule="exact"/>
        <w:ind w:firstLine="480" w:firstLineChars="200"/>
        <w:jc w:val="left"/>
        <w:outlineLvl w:val="1"/>
        <w:rPr>
          <w:rFonts w:hint="eastAsia" w:ascii="宋体" w:hAnsi="宋体" w:eastAsia="宋体" w:cs="宋体"/>
          <w:color w:val="auto"/>
          <w:kern w:val="0"/>
          <w:sz w:val="24"/>
          <w:szCs w:val="24"/>
          <w:lang w:val="en-US" w:eastAsia="zh-CN" w:bidi="ar-SA"/>
        </w:rPr>
      </w:pPr>
      <w:bookmarkStart w:id="247" w:name="_Toc19007"/>
      <w:r>
        <w:rPr>
          <w:rFonts w:hint="eastAsia" w:ascii="宋体" w:hAnsi="宋体" w:eastAsia="宋体" w:cs="宋体"/>
          <w:color w:val="auto"/>
          <w:kern w:val="0"/>
          <w:sz w:val="24"/>
          <w:szCs w:val="24"/>
          <w:lang w:val="en-US" w:eastAsia="zh-CN" w:bidi="ar-SA"/>
        </w:rPr>
        <w:t>3  职业安全卫生</w:t>
      </w:r>
      <w:bookmarkEnd w:id="247"/>
    </w:p>
    <w:p w14:paraId="2B58050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贯彻“安全第一、预防为主、综合治理”的方针，保障从业人员在劳动过程中的安全与健康。本次设计的内容为项目信息化机房的劳动安全卫生设计，对建设运营过程中可能产生的不安全、影响职工健康的因素，采取有效措施，认真贯彻执行国家有关职业安全职业卫生方面的政策法规，切实做到职业安全与卫生工程与主体工程同时设计、同时施工、同时运营的“三同时”制度，对影响职工安全卫生的有害因素，采取综合措施，改善工人工作的劳动卫生条件，做到有针对性、经济性和实用性，保证项目的安全运营和职工的身心健康，并达到国家或地方规定的劳动卫生安全标准。</w:t>
      </w:r>
    </w:p>
    <w:p w14:paraId="1EAE56C8">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p>
    <w:p w14:paraId="485636CA">
      <w:pPr>
        <w:keepNext/>
        <w:keepLines/>
        <w:pageBreakBefore w:val="0"/>
        <w:widowControl/>
        <w:kinsoku/>
        <w:wordWrap/>
        <w:overflowPunct/>
        <w:topLinePunct w:val="0"/>
        <w:autoSpaceDE/>
        <w:autoSpaceDN/>
        <w:bidi w:val="0"/>
        <w:spacing w:line="440" w:lineRule="exact"/>
        <w:ind w:firstLine="480" w:firstLineChars="200"/>
        <w:jc w:val="left"/>
        <w:outlineLvl w:val="2"/>
        <w:rPr>
          <w:rFonts w:hint="eastAsia" w:ascii="宋体" w:hAnsi="宋体" w:eastAsia="宋体" w:cs="宋体"/>
          <w:color w:val="auto"/>
          <w:kern w:val="2"/>
          <w:sz w:val="24"/>
          <w:szCs w:val="24"/>
          <w:lang w:val="en-US" w:eastAsia="zh-CN" w:bidi="ar-SA"/>
        </w:rPr>
      </w:pPr>
      <w:bookmarkStart w:id="248" w:name="_Toc6391"/>
      <w:r>
        <w:rPr>
          <w:rFonts w:hint="eastAsia" w:ascii="宋体" w:hAnsi="宋体" w:eastAsia="宋体" w:cs="宋体"/>
          <w:color w:val="auto"/>
          <w:kern w:val="2"/>
          <w:sz w:val="24"/>
          <w:szCs w:val="24"/>
          <w:lang w:val="en-US" w:eastAsia="zh-CN" w:bidi="ar-SA"/>
        </w:rPr>
        <w:t>3.1  职业安全卫生主要影响因素</w:t>
      </w:r>
      <w:bookmarkEnd w:id="248"/>
    </w:p>
    <w:p w14:paraId="29692329">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本项目主要涉及信息化机房施工作业和信息化系统运营，涉及主要的职业卫生安全因素如下：</w:t>
      </w:r>
    </w:p>
    <w:p w14:paraId="68E6471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rPr>
        <w:t>1、机房环境布置、洁净度、新风量等不符合要求产生对人员、设备相关危害</w:t>
      </w:r>
      <w:r>
        <w:rPr>
          <w:rFonts w:hint="eastAsia" w:ascii="宋体" w:hAnsi="宋体" w:eastAsia="宋体" w:cs="宋体"/>
          <w:color w:val="auto"/>
          <w:kern w:val="2"/>
          <w:sz w:val="24"/>
          <w:szCs w:val="24"/>
          <w:lang w:eastAsia="zh-CN"/>
        </w:rPr>
        <w:t>；</w:t>
      </w:r>
    </w:p>
    <w:p w14:paraId="5FEE3B9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rPr>
        <w:t>2、工程施工安全，包括用电安全、高处作业安全、交通安全、器材搬运安全等</w:t>
      </w:r>
      <w:r>
        <w:rPr>
          <w:rFonts w:hint="eastAsia" w:ascii="宋体" w:hAnsi="宋体" w:eastAsia="宋体" w:cs="宋体"/>
          <w:color w:val="auto"/>
          <w:kern w:val="2"/>
          <w:sz w:val="24"/>
          <w:szCs w:val="24"/>
          <w:lang w:eastAsia="zh-CN"/>
        </w:rPr>
        <w:t>；</w:t>
      </w:r>
    </w:p>
    <w:p w14:paraId="7A5F8267">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rPr>
        <w:t>3、信息化设备产生的电磁波辐射，对人员和环境的影响</w:t>
      </w:r>
      <w:r>
        <w:rPr>
          <w:rFonts w:hint="eastAsia" w:ascii="宋体" w:hAnsi="宋体" w:eastAsia="宋体" w:cs="宋体"/>
          <w:color w:val="auto"/>
          <w:kern w:val="2"/>
          <w:sz w:val="24"/>
          <w:szCs w:val="24"/>
          <w:lang w:eastAsia="zh-CN"/>
        </w:rPr>
        <w:t>；</w:t>
      </w:r>
    </w:p>
    <w:p w14:paraId="1CA476F3">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rPr>
        <w:t>4、工程施工产生噪声影响、设备运行过程产生的噪声影响</w:t>
      </w:r>
      <w:r>
        <w:rPr>
          <w:rFonts w:hint="eastAsia" w:ascii="宋体" w:hAnsi="宋体" w:eastAsia="宋体" w:cs="宋体"/>
          <w:color w:val="auto"/>
          <w:kern w:val="2"/>
          <w:sz w:val="24"/>
          <w:szCs w:val="24"/>
          <w:lang w:eastAsia="zh-CN"/>
        </w:rPr>
        <w:t>；</w:t>
      </w:r>
    </w:p>
    <w:p w14:paraId="6AC54497">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5、系统运行过程静电干扰产生的危害</w:t>
      </w:r>
      <w:r>
        <w:rPr>
          <w:rFonts w:hint="eastAsia" w:ascii="宋体" w:hAnsi="宋体" w:eastAsia="宋体" w:cs="宋体"/>
          <w:color w:val="auto"/>
          <w:kern w:val="2"/>
          <w:sz w:val="24"/>
          <w:szCs w:val="24"/>
          <w:lang w:eastAsia="zh-CN"/>
        </w:rPr>
        <w:t>。</w:t>
      </w:r>
    </w:p>
    <w:p w14:paraId="5E5FA82F">
      <w:pPr>
        <w:keepNext/>
        <w:keepLines/>
        <w:pageBreakBefore w:val="0"/>
        <w:widowControl/>
        <w:kinsoku/>
        <w:wordWrap/>
        <w:overflowPunct/>
        <w:topLinePunct w:val="0"/>
        <w:autoSpaceDE/>
        <w:autoSpaceDN/>
        <w:bidi w:val="0"/>
        <w:spacing w:line="440" w:lineRule="exact"/>
        <w:ind w:firstLine="480" w:firstLineChars="200"/>
        <w:jc w:val="left"/>
        <w:outlineLvl w:val="2"/>
        <w:rPr>
          <w:rFonts w:hint="eastAsia" w:ascii="宋体" w:hAnsi="宋体" w:eastAsia="宋体" w:cs="宋体"/>
          <w:color w:val="auto"/>
          <w:kern w:val="2"/>
          <w:sz w:val="24"/>
          <w:szCs w:val="24"/>
          <w:lang w:val="en-US" w:eastAsia="zh-CN" w:bidi="ar-SA"/>
        </w:rPr>
      </w:pPr>
      <w:bookmarkStart w:id="249" w:name="_Toc22887"/>
      <w:r>
        <w:rPr>
          <w:rFonts w:hint="eastAsia" w:ascii="宋体" w:hAnsi="宋体" w:eastAsia="宋体" w:cs="宋体"/>
          <w:color w:val="auto"/>
          <w:kern w:val="2"/>
          <w:sz w:val="24"/>
          <w:szCs w:val="24"/>
          <w:lang w:val="en-US" w:eastAsia="zh-CN" w:bidi="ar-SA"/>
        </w:rPr>
        <w:t>3.2  噪声控制</w:t>
      </w:r>
      <w:bookmarkEnd w:id="249"/>
    </w:p>
    <w:p w14:paraId="24ADA162">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rPr>
        <w:t>1、设备运行所产生的噪声应符合相关产品标准的规定；高噪声设备宜配备隔声设施</w:t>
      </w:r>
      <w:r>
        <w:rPr>
          <w:rFonts w:hint="eastAsia" w:ascii="宋体" w:hAnsi="宋体" w:eastAsia="宋体" w:cs="宋体"/>
          <w:color w:val="auto"/>
          <w:kern w:val="2"/>
          <w:sz w:val="24"/>
          <w:szCs w:val="24"/>
          <w:lang w:eastAsia="zh-CN"/>
        </w:rPr>
        <w:t>；</w:t>
      </w:r>
    </w:p>
    <w:p w14:paraId="2C5ECEC2">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rPr>
        <w:t>2、所有设备停机时，机房内的噪声应小于60 dB（A）</w:t>
      </w:r>
      <w:r>
        <w:rPr>
          <w:rFonts w:hint="eastAsia" w:ascii="宋体" w:hAnsi="宋体" w:eastAsia="宋体" w:cs="宋体"/>
          <w:color w:val="auto"/>
          <w:kern w:val="2"/>
          <w:sz w:val="24"/>
          <w:szCs w:val="24"/>
          <w:lang w:eastAsia="zh-CN"/>
        </w:rPr>
        <w:t>；</w:t>
      </w:r>
    </w:p>
    <w:p w14:paraId="0D85FAD3">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3、所有对外的噪声应满足GB 3096的规定值要求。</w:t>
      </w:r>
    </w:p>
    <w:p w14:paraId="738AD251">
      <w:pPr>
        <w:keepNext/>
        <w:keepLines/>
        <w:pageBreakBefore w:val="0"/>
        <w:widowControl/>
        <w:kinsoku/>
        <w:wordWrap/>
        <w:overflowPunct/>
        <w:topLinePunct w:val="0"/>
        <w:autoSpaceDE/>
        <w:autoSpaceDN/>
        <w:bidi w:val="0"/>
        <w:spacing w:line="440" w:lineRule="exact"/>
        <w:ind w:firstLine="480" w:firstLineChars="200"/>
        <w:jc w:val="left"/>
        <w:outlineLvl w:val="2"/>
        <w:rPr>
          <w:rFonts w:hint="eastAsia" w:ascii="宋体" w:hAnsi="宋体" w:eastAsia="宋体" w:cs="宋体"/>
          <w:color w:val="auto"/>
          <w:kern w:val="2"/>
          <w:sz w:val="24"/>
          <w:szCs w:val="24"/>
          <w:lang w:val="en-US" w:eastAsia="zh-CN" w:bidi="ar-SA"/>
        </w:rPr>
      </w:pPr>
      <w:bookmarkStart w:id="250" w:name="_Toc19203"/>
      <w:r>
        <w:rPr>
          <w:rFonts w:hint="eastAsia" w:ascii="宋体" w:hAnsi="宋体" w:eastAsia="宋体" w:cs="宋体"/>
          <w:color w:val="auto"/>
          <w:kern w:val="2"/>
          <w:sz w:val="24"/>
          <w:szCs w:val="24"/>
          <w:lang w:val="en-US" w:eastAsia="zh-CN" w:bidi="ar-SA"/>
        </w:rPr>
        <w:t>3.3  电辐射</w:t>
      </w:r>
      <w:bookmarkEnd w:id="250"/>
    </w:p>
    <w:p w14:paraId="10F8F4EA">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本期新建或扩容设备符合国家质量标准，设备运行产生的辐射符合国家行业标准要求，对人体和环境不产生危害影响</w:t>
      </w:r>
      <w:r>
        <w:rPr>
          <w:rFonts w:hint="eastAsia" w:ascii="宋体" w:hAnsi="宋体" w:eastAsia="宋体" w:cs="宋体"/>
          <w:color w:val="auto"/>
          <w:kern w:val="2"/>
          <w:sz w:val="24"/>
          <w:szCs w:val="24"/>
          <w:lang w:eastAsia="zh-CN"/>
        </w:rPr>
        <w:t>。</w:t>
      </w:r>
    </w:p>
    <w:p w14:paraId="2730E17D">
      <w:pPr>
        <w:keepNext/>
        <w:keepLines/>
        <w:pageBreakBefore w:val="0"/>
        <w:widowControl/>
        <w:kinsoku/>
        <w:wordWrap/>
        <w:overflowPunct/>
        <w:topLinePunct w:val="0"/>
        <w:autoSpaceDE/>
        <w:autoSpaceDN/>
        <w:bidi w:val="0"/>
        <w:spacing w:line="440" w:lineRule="exact"/>
        <w:ind w:firstLine="480" w:firstLineChars="200"/>
        <w:jc w:val="left"/>
        <w:outlineLvl w:val="2"/>
        <w:rPr>
          <w:rFonts w:hint="eastAsia" w:ascii="宋体" w:hAnsi="宋体" w:eastAsia="宋体" w:cs="宋体"/>
          <w:color w:val="auto"/>
          <w:kern w:val="2"/>
          <w:sz w:val="24"/>
          <w:szCs w:val="24"/>
          <w:lang w:val="en-US" w:eastAsia="zh-CN" w:bidi="ar-SA"/>
        </w:rPr>
      </w:pPr>
      <w:bookmarkStart w:id="251" w:name="_Toc29527"/>
      <w:r>
        <w:rPr>
          <w:rFonts w:hint="eastAsia" w:ascii="宋体" w:hAnsi="宋体" w:eastAsia="宋体" w:cs="宋体"/>
          <w:color w:val="auto"/>
          <w:kern w:val="2"/>
          <w:sz w:val="24"/>
          <w:szCs w:val="24"/>
          <w:lang w:val="en-US" w:eastAsia="zh-CN" w:bidi="ar-SA"/>
        </w:rPr>
        <w:t>3.4  安全生产</w:t>
      </w:r>
      <w:bookmarkEnd w:id="251"/>
    </w:p>
    <w:p w14:paraId="15D2212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rPr>
        <w:t>3</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4</w:t>
      </w:r>
      <w:r>
        <w:rPr>
          <w:rFonts w:hint="eastAsia" w:ascii="宋体" w:hAnsi="宋体" w:eastAsia="宋体" w:cs="宋体"/>
          <w:color w:val="auto"/>
          <w:kern w:val="2"/>
          <w:sz w:val="24"/>
          <w:szCs w:val="24"/>
        </w:rPr>
        <w:t>.1工程安全管理组织</w:t>
      </w:r>
    </w:p>
    <w:p w14:paraId="541E0EC1">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通信建设施工企业在施工生产中，以下几方面必须符合国家法律、法规相关规定：</w:t>
      </w:r>
    </w:p>
    <w:p w14:paraId="31681EB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施工企业资质及安全生产许可证情况；</w:t>
      </w:r>
    </w:p>
    <w:p w14:paraId="1C936F2E">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施工单位安全生产管理机构设置情况；</w:t>
      </w:r>
    </w:p>
    <w:p w14:paraId="47B42061">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施工单位的主要负责人、项目负责人、专职安全生产管理人员、特种作业人员任职或上岗条件；</w:t>
      </w:r>
    </w:p>
    <w:p w14:paraId="7A278B09">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施工单位主要负责人、项目负责人、专职安全生产管理人员的职责；</w:t>
      </w:r>
    </w:p>
    <w:p w14:paraId="0D2651A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施工人员的权利和义务。</w:t>
      </w:r>
    </w:p>
    <w:p w14:paraId="76C45BD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工程安全管理组织</w:t>
      </w:r>
    </w:p>
    <w:p w14:paraId="4190EFB1">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建设单位要根据相关法律、法规规定，设置安全生产管理机构或者配备专职（或兼职）安全生产管理人员。</w:t>
      </w:r>
    </w:p>
    <w:p w14:paraId="54B02FA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新建、改建、扩建工程项目的安全生产设施必须要与主体工程同时设计、同时施工、同时投产使用。</w:t>
      </w:r>
    </w:p>
    <w:p w14:paraId="21A42B90">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工程监理要严格按安全生产专篇要求实施安全监督和管理。</w:t>
      </w:r>
    </w:p>
    <w:p w14:paraId="1CD0391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工程施工要严格按安全生产专篇要求，对施工人员要进行安全教育和培训，落实安全防护措施和安全经费。</w:t>
      </w:r>
    </w:p>
    <w:p w14:paraId="5DA0BD7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单位在施工前应对施工作业现场的作业环境进行勘查，并制定相应的安全生产和文明施工的防范措施，加强施工现场安全管理和检查。</w:t>
      </w:r>
    </w:p>
    <w:p w14:paraId="5E18F73E">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施工单位必须严禁使用未取得有关部门颁发的《特种作业人员岗位操作证》的人员从事特种作业，禁止使用未经上岗培训的人员上岗作业。</w:t>
      </w:r>
    </w:p>
    <w:p w14:paraId="36792AE9">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施工单位必须保证施工现场安全措施费用和施工人员的安全生产用品的落实。</w:t>
      </w:r>
    </w:p>
    <w:p w14:paraId="3F6F57F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建设项目竣工投产前，其安全设施必须经安全部门验收合格。</w:t>
      </w:r>
    </w:p>
    <w:p w14:paraId="14DEC84E">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单位的主要负责人、工程项目负责人和安全生产管理人员必须具备与本单位所从事施工生产经营活动相应的安全生产知识和管理能力，应当经通信行业主管部门考核合格后方可任职。施工单位应保证所有参加工程项目的人员必须经过培训，并考核合格。其生产安全教育培训情况应记入个人工作档案。经安全生产教育培训考核不合格的人员，不得上岗。</w:t>
      </w:r>
    </w:p>
    <w:p w14:paraId="77971CBE">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企业主要负责人、工程项目负责人和专职安全员应对建设工程项目的安全施工负责。当发生安全事故时，应及时、如实地报告。</w:t>
      </w:r>
    </w:p>
    <w:p w14:paraId="33BFB513">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工程项目施工必须实行安全技术逐级交底制度，纵向延伸到全体作业人员。</w:t>
      </w:r>
    </w:p>
    <w:p w14:paraId="0C8747D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人员在施工生产过程中，必须按照国家规定和不同的专业需要，正确穿戴和使用相应的劳动保护用品。施工人员在施工生产过程中，必须按照国家规定和不同的专业需要，正确穿戴和使用相应的劳动保护用品。从事特殊工种的作业人员在上岗前，必须进行专门的安全技术和操作技能的培训和考核，并经培训考核合格，取得《特种作业人员操作证》后方可上岗。</w:t>
      </w:r>
    </w:p>
    <w:p w14:paraId="4524286C">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发生任何事故，必须及时逐级上报。报告的内容应包括事故发生的单位、时间、地点、简要事故经过、伤亡人数、财产损失情况和已采取的应急措施等。报告人应适时作出书面记录。</w:t>
      </w:r>
    </w:p>
    <w:p w14:paraId="2B67178E">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项目负责人接到事故报告后，应迅速采取有效措施，积极组织救护、抢险，减少人员伤亡和财产损失，防止事故继续扩大，并立即报告安全生产主管部门或上级应急指挥中心。</w:t>
      </w:r>
    </w:p>
    <w:p w14:paraId="054251F7">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设备安装前须检查：机房荷载、消防、抗震、接地的证明。</w:t>
      </w:r>
    </w:p>
    <w:p w14:paraId="70E7C82B">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当施工作业可能对毗邻设备、管线等造成损害时，监理工程师应要求承包单位采取防护措施。</w:t>
      </w:r>
    </w:p>
    <w:p w14:paraId="36E09F2B">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监理工程师应要求承包单位在施工现场设置符合规定的安全警示标志，暂停施工时应做好现场防护，对施工时产生的噪音、粉尘、废物、振动及照明等对人和环境可能造成危害和污染时，要采取环境保护措施。</w:t>
      </w:r>
    </w:p>
    <w:p w14:paraId="5A583BDA">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在运行中的通信设备机架内或设备旁进行安装作业时，监理工程师应督促承包单位提前制定好带电作业的安全防护措施，在安装施工过程中，监理人员、维护人员必须旁站监督，防止安全事故的发生。</w:t>
      </w:r>
    </w:p>
    <w:p w14:paraId="500B0F1F">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工程项目施工必须实行安全技术交底制度，接受交底的人员必须覆盖全体作业人员。</w:t>
      </w:r>
    </w:p>
    <w:p w14:paraId="2CA7ADE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人员必须遵守交通法规，保证工程车辆行车安全、人身及财产安全。驾驶员驾驶车辆必须注意交通标志、标线，保持安全行车距离，不强行超车、不超速行驶、不疲劳驾驶、不驾驶故障车辆，严禁酒后驾驶、无证驾驶。严禁车辆客货混装或超员、超载。</w:t>
      </w:r>
    </w:p>
    <w:p w14:paraId="248D816A">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发生安全生产事故，必须及时按规定上报。项目负责人接到事故报告后，必须立即启动相应的事故应急预案，迅速采取有效措施，积极组织救护、抢险，防止事故继续扩大，减少人员伤亡和财产损失，并立即报告安全生产主管部门或上级应急指挥中心。</w:t>
      </w:r>
    </w:p>
    <w:p w14:paraId="3F327D1B">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rPr>
        <w:t>3</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4</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2施工现场安全</w:t>
      </w:r>
    </w:p>
    <w:p w14:paraId="5A33BC4A">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在城镇交人员密集处施工时必须设置有关部门规定的警示标志，必要时派专人警戒看守。</w:t>
      </w:r>
    </w:p>
    <w:p w14:paraId="19AE291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施工现场的安全警示标志和防护设施应随工作地点的变动而转移，作业完毕应及时撤除、清理干净。</w:t>
      </w:r>
    </w:p>
    <w:p w14:paraId="00EAFDA7">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施工人员应阻止非工作人员进人施工作业区，接近或触碰正在施工运行中的各种机具与设施。</w:t>
      </w:r>
    </w:p>
    <w:p w14:paraId="1F29A9C9">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在城镇和居民区内施工有噪音扰民时，应采取防止或减轻噪音扰民的措施，并在相关部门规定时间内施工。需要在夜间或在禁止时间内施工的，应报请有关单位和部门批准。</w:t>
      </w:r>
    </w:p>
    <w:p w14:paraId="67390829">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从事高处作业的施工人员，必须正确使用安全带、安全帽。</w:t>
      </w:r>
    </w:p>
    <w:p w14:paraId="2A665607">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从事高处作业的人员应定期进行健康检查，如发现身体不适合高处作业时，不得从事这一工作。</w:t>
      </w:r>
    </w:p>
    <w:p w14:paraId="27BDC020">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高处作业时，所用工具、材料应放置稳妥，不得扔抛工具或材料。</w:t>
      </w:r>
    </w:p>
    <w:p w14:paraId="42334C63">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施工现场有两个以上施工单位施工时，建设单位应明确各方的安全职责，对施工现场实行统一管理。</w:t>
      </w:r>
    </w:p>
    <w:p w14:paraId="092C4A60">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rPr>
        <w:t>3</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4</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3施工驻地安全</w:t>
      </w:r>
    </w:p>
    <w:p w14:paraId="45059F2E">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临时搭建的员工办公室等设施必须安全、牢固、符合消防安全规定，严禁使用易燃材料搭建临时设施。临时设施严禁靠近电力设施，与高压架空电线的水平距离必须符合相关规定。</w:t>
      </w:r>
    </w:p>
    <w:p w14:paraId="3F9A15FA">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施工驻地应按规定配备消防设施，设置安全通道。</w:t>
      </w:r>
    </w:p>
    <w:p w14:paraId="339BDE2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rPr>
        <w:t>3</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4</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4施工现场用电安全要求</w:t>
      </w:r>
    </w:p>
    <w:p w14:paraId="698B36D7">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电工作业应由二人以上配合进行，并由持证人员操作，并按规定穿绝缘鞋，带绝缘手套，使用绝缘工具。在带电的设备、头柜、分支柜中操作时，不得佩戴金属饰物，并采取有效措施防止螺丝钉、垫片、金属屑等金属材料掉落。</w:t>
      </w:r>
    </w:p>
    <w:p w14:paraId="611DF69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操作电器装置应熟悉其性能和使用方法，不得任意开动电源装置，严禁在电源装置上放置物件，施工人员需在施工授权范围内操作，不得超出范围进行操作。</w:t>
      </w:r>
    </w:p>
    <w:p w14:paraId="49E33959">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在低压作业中，人体及其所携带工具与带电体的距离不应小于0.1m。</w:t>
      </w:r>
    </w:p>
    <w:p w14:paraId="649D7E8C">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施工现场用电线路应采用绝缘护套导线。</w:t>
      </w:r>
    </w:p>
    <w:p w14:paraId="4BC058B3">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检修各类配电箱、开关箱、电气设备和电力工具时，必须切断电源。在总配线箱或者分配线箱一侧悬挂“检修设备请勿合闸”警示标牌，必要时设专人看管。</w:t>
      </w:r>
    </w:p>
    <w:p w14:paraId="6588E262">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用电设备的总功率不得超过供电负荷。</w:t>
      </w:r>
    </w:p>
    <w:p w14:paraId="3C67C94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设备加电测试</w:t>
      </w:r>
    </w:p>
    <w:p w14:paraId="09145DE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1、设备在加电前应进行检查以下内容:设备内不得有金属碎屑，电源正负极不得接反和短路，设备保护地线应引接良好，各级电源熔断器和空气开关规格应符合设计和设备的技术要求。</w:t>
      </w:r>
    </w:p>
    <w:p w14:paraId="7BF104D0">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2、设备加电时，操作人员必须穿戴绝缘鞋、绝缘手套，使用绝缘工具，并应由2人互相配合，沿电流方向逐级加电，逐级测量并留存测试记录。</w:t>
      </w:r>
    </w:p>
    <w:p w14:paraId="4486A2C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3、插拔板卡、模块时应配戴接地良好的防静电手环。</w:t>
      </w:r>
    </w:p>
    <w:p w14:paraId="67D53BC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4、插拔电源熔断器应使用专用工具，不得用其他工具代替。</w:t>
      </w:r>
    </w:p>
    <w:p w14:paraId="07BF5373">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rPr>
        <w:t>3</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4</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5施工交通安全</w:t>
      </w:r>
    </w:p>
    <w:p w14:paraId="166DC3DF">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人员应遵守交通法规，保证工程车辆、人身及财产安全。驾驶员驾驶车辆应注意交通标志、标线，保持安全行车距离，不强行超车、不超速行驶、不疲劳驾驶、不驾驶故障车辆，不得酒后驾驶、无证驾驶。车辆不得客货混装或超员。</w:t>
      </w:r>
    </w:p>
    <w:p w14:paraId="725B987E">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车辆行驶时，乘坐人员应注意沿途的电线、树枝及其他障碍物，不得将肢体露于车厢外。车辆停稳后方可上下车。</w:t>
      </w:r>
    </w:p>
    <w:p w14:paraId="74F6EDB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若需租用车辆，应与车主签订租车协议，明确双方安全责任和义务。</w:t>
      </w:r>
    </w:p>
    <w:p w14:paraId="43C97799">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4</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6器材搬运要求</w:t>
      </w:r>
    </w:p>
    <w:p w14:paraId="1F61F14F">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1、一般规定</w:t>
      </w:r>
    </w:p>
    <w:p w14:paraId="46C54EF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（1）搬运通信设备、线缆等器材时，使用的杠、绳、链、撬棍、滚筒、滑车、挂钩、绞车（盘）、跳板等搬运工具应有足够的强度。不得使用有破损、腐蚀、腐朽现象的搬运工具。</w:t>
      </w:r>
    </w:p>
    <w:p w14:paraId="791DAAB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（2）人工挑、抬、扛工作应采取适当的人身安全措施。</w:t>
      </w:r>
    </w:p>
    <w:p w14:paraId="20112187">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2、大型设备搬运</w:t>
      </w:r>
    </w:p>
    <w:p w14:paraId="5B5618FC">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（1）装卸大型设备宜采用吊车或叉车。搬运设备时应注意包装箱上的标志，不得倒置。</w:t>
      </w:r>
    </w:p>
    <w:p w14:paraId="703D8580">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（2）人工搬运时，应有专人指挥，多人合作，步调一致；每人负重男工不得超过40kg，女工不得超过20kg；不得让患有不适于搬运工作疾病者参与搬运工作。</w:t>
      </w:r>
    </w:p>
    <w:p w14:paraId="218A7EBA">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（3）人工搬运设备上下楼梯时，应按照身高、体力妥善安排位置，负重均匀；急拐弯处要慢行，前后的人应相互照应。</w:t>
      </w:r>
    </w:p>
    <w:p w14:paraId="18FED5E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（4）使用电梯搬运设备上下楼时，宜使用货梯，电梯的大小和承重应满足搬运要求。</w:t>
      </w:r>
    </w:p>
    <w:p w14:paraId="7E0DA28B">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（5）手搬、肩扛没有包装的设备时，应搬、扛设备的牢固部位，不得抓碰布线、盒盖、零部件等不牢固、不能承重的部位。在搬运过程中不得直接将机柜在地面上拖拉、推动。</w:t>
      </w:r>
    </w:p>
    <w:p w14:paraId="2E67EDE9">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4</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7室内设备安装</w:t>
      </w:r>
    </w:p>
    <w:p w14:paraId="3E89F631">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1、设备开箱时应注意包装箱上的标志，不得倒置。开箱时应使用专用工具，不得猛力敲打包装箱。开箱后应及时清理箱板、铁皮、泡沫等杂物。雨雪、潮湿天气不得在室外开箱。</w:t>
      </w:r>
    </w:p>
    <w:p w14:paraId="68D4C2F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2、在机房内搬移设备时，不得损坏地板和其他设备。</w:t>
      </w:r>
    </w:p>
    <w:p w14:paraId="0BD8323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3、在已有运行设备的机房内作业时，应划定施工作业区域，作业人员不得随意触碰已有运行设备，不得随意触碰消防设施。</w:t>
      </w:r>
    </w:p>
    <w:p w14:paraId="1BA2C097">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4、严禁擅自关断运行设备的电源开关。使用机房原有电源插座时应核实电源容量。</w:t>
      </w:r>
    </w:p>
    <w:p w14:paraId="1D9CA22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5、铁架、槽道、机架、人字梯上不得放置工具和器材。不得脚踩铁架、机架、电缆走道、端子板等设备。</w:t>
      </w:r>
    </w:p>
    <w:p w14:paraId="0749540E">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6、在运行设备顶部操作时，应对运行设备采取防护措施，避免工具、螺丝等金属物品落入机柜内。</w:t>
      </w:r>
    </w:p>
    <w:p w14:paraId="404146E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7、机架安装时，应用膨胀螺栓对地加固。在需要抗震加固的地区，应按设计要求，对机架采取抗震加固措施，机架防雷接地需严格按照机房及设计要求。在已运行的设备旁安装机架时应防止碰撞原有设备。</w:t>
      </w:r>
    </w:p>
    <w:p w14:paraId="39E7A37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8、交直流供电设备安装</w:t>
      </w:r>
    </w:p>
    <w:p w14:paraId="1439E04F">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（1）设备的防雷和保护接地线应安装牢固，接地电阻值应符合要求。</w:t>
      </w:r>
    </w:p>
    <w:p w14:paraId="0803DB3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（2）设备安装完毕后，应进行清洁，彻底清除在安装时落入机内的杂物。</w:t>
      </w:r>
    </w:p>
    <w:p w14:paraId="2DBA6372">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（3）交流配电屏的中性线应与机架绝缘。不得采用中性线做交流保护地线。</w:t>
      </w:r>
    </w:p>
    <w:p w14:paraId="0825595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（4）供电前，需要检查设备内线缆、元器件等连接是否正确、牢固，确认正确后方可供电；交、直流配电屏和其他供电设备前后的地面应铺放绝缘橡胶垫。</w:t>
      </w:r>
    </w:p>
    <w:p w14:paraId="619EF78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（5）电源熔断器及空气开关容量应符合设计要求，插拔电源熔断器应使用专用工具，不得用其他工具代替。</w:t>
      </w:r>
    </w:p>
    <w:p w14:paraId="0EFEBB10">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（6）设备供电时，操作人员应穿绝缘鞋，带绝缘手套，并应有两人互相配合，采取逐级加电的方法进行。如发现异常，应立即切断电源开关，检查原因。</w:t>
      </w:r>
    </w:p>
    <w:p w14:paraId="5AAA6C00">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4</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8电缆布放安全要求</w:t>
      </w:r>
    </w:p>
    <w:p w14:paraId="3CBD7EE3">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1、布放线缆时应做好标识，其中电源线端头应作绝缘处理。</w:t>
      </w:r>
    </w:p>
    <w:p w14:paraId="017FE9E2">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2、电源线的布放：</w:t>
      </w:r>
    </w:p>
    <w:p w14:paraId="6F0C1097">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（1）在地槽内布放电源线时，必须注意防潮。</w:t>
      </w:r>
    </w:p>
    <w:p w14:paraId="66B5C153">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（2）布放电源线时，无论是明敷或暗敷，必须是整条线料，中间严禁有接头。</w:t>
      </w:r>
    </w:p>
    <w:p w14:paraId="50250C3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截面在10mm2以上的电源线终端必须加装线鼻子，尺寸应与导线线径相吻合，线鼻子与电源线的端头必须镀锡。如加装封闭式线鼻子应用专用压接工具压接牢固；如为开口式线鼻子必须用烙铁焊接牢固。线鼻子与设备连接处在通电后，温度不得超过65℃。</w:t>
      </w:r>
    </w:p>
    <w:p w14:paraId="66AE07B0">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（4）电源线穿越墙洞或楼层时，应预留“S”弯。洞口两端应按要求用阻燃材料的盖板堵封洞口。施工尚未结束时，应用临时阻燃材料堵封洞口。</w:t>
      </w:r>
    </w:p>
    <w:p w14:paraId="5B427DB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（5）交流线、直流线、信号线应分开布放，不得绑扎在一起，如走在同一路由时，间距必须符合工程验收规范要求。非同一级电力电缆不得穿放在同一管孔内。</w:t>
      </w:r>
    </w:p>
    <w:p w14:paraId="3786E2BA">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（6）设备电源的正负极性严禁接反。</w:t>
      </w:r>
    </w:p>
    <w:p w14:paraId="17AB8E2B">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（7）电源线、信号线必须是整条线料，外皮完整，中间严禁有接头和急弯处。</w:t>
      </w:r>
    </w:p>
    <w:p w14:paraId="4C35E369">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（8）直流电源线、交流电源线、信号线必须分开布放，应避免在同一线束内。其中直流电源线正极外皮颜色应为红色，负极外皮颜色应为兰色。</w:t>
      </w:r>
    </w:p>
    <w:p w14:paraId="43C848F1">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4</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9铁件加工和安装</w:t>
      </w:r>
    </w:p>
    <w:p w14:paraId="6BCC49CC">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1、加工铁件应在指定的区域操作。不得在已安装设备的机房内切割铁件。</w:t>
      </w:r>
    </w:p>
    <w:p w14:paraId="688E6BB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2、锯、锉铁件时，加工的铁件应在台虎钳或电锯平台上夹紧。在台虎钳上夹持固定槽钢、角钢、钢管时，应用木块在钳口处垫实、夹牢，不得松动，锯、锉点距钳口的距离不应过远，防止铁件振动损害机具。</w:t>
      </w:r>
    </w:p>
    <w:p w14:paraId="6073BE21">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锯铁件时，锯条或砂轮与铁件的夹角要小，不宜超过10°，锯条松紧适度。锯槽钢、角钢时，不宜从顶角开始，宜从边角开始。当铁件快要锯断时，要降低手锯或电锯的速度，并有人扶住铁件的另一端，防止卡锯或铁件余料飞出。</w:t>
      </w:r>
    </w:p>
    <w:p w14:paraId="21AF7DA0">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4、对铁件钻孔时，应用力均匀，铁件应夹紧，固定牢靠，不得左右摆动；如发生卡住钻头现象，应立即停机处理。</w:t>
      </w:r>
    </w:p>
    <w:p w14:paraId="0ABB8E0C">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5、管件攻丝、套丝时，管件在台虎钳上应固定牢固。如两人操作时，动作应协调。攻、套丝时，应注意加注机油，及时清理铁屑，防止飞溅。</w:t>
      </w:r>
    </w:p>
    <w:p w14:paraId="4B78C45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6、铁件作弯时，应在台虎钳或作弯工具上夹紧。用锤敲击时，应防止振伤手臂。管件需加热作弯时，喷灯烘烤管件间距适当，操作人员不得面对管口。</w:t>
      </w:r>
    </w:p>
    <w:p w14:paraId="6F65E34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7、铁件去锈和喷刷漆时，作业人员应戴口罩、手套。喷刷后的余漆、废液应集中回收，统一处理，不得随意丢放。</w:t>
      </w:r>
    </w:p>
    <w:p w14:paraId="404F169B">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8、铁件安装工作中，不得抛掷铁件及工具。传递较长的铁件时，应注意周围人员、设备的安全。手扶铁件固定时，应固定牢靠后才能松手。</w:t>
      </w:r>
    </w:p>
    <w:p w14:paraId="544B474B">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9、走线架、吊挂、通风管道等应安装接地线，与机房接地排连接可靠。</w:t>
      </w:r>
    </w:p>
    <w:p w14:paraId="7D00F785">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4</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10高处作业时安全施工要求</w:t>
      </w:r>
    </w:p>
    <w:p w14:paraId="7B327D2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高处作业是一项危险性较大的作业项目，容易发生人员、物体坠落等事故。高处作业的安全防护要求如下:</w:t>
      </w:r>
    </w:p>
    <w:p w14:paraId="33DF6C4C">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高处作业人员应当持证上岗。安全员必须严格按照安全控制措施和操作规程进行现场监督、检查。</w:t>
      </w:r>
    </w:p>
    <w:p w14:paraId="22FBB0F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作业人员应佩戴安全帽、安全带，穿工作服、工作鞋，并认真检查各种劳保用具是否安全可靠。高处作业人员情绪不稳定、不能保证精神集中地进行高处作业时不得上岗。高空作业前不准饮酒，前一天不准过量饮酒。</w:t>
      </w:r>
    </w:p>
    <w:p w14:paraId="6B734871">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高处作业应划定安全禁区，设置警示牌。操作人员应统一指挥。高处作业用的各种工、器具要加保险绳、钩、袋，防止失于散落伤人。作业过程中禁止无关人员进入安全禁区。当地气温高于人体体温、遇有5级以上（含5级）大风以及暴雨、打雷等恶劣天气或能见度低时严禁高处作业。</w:t>
      </w:r>
    </w:p>
    <w:p w14:paraId="642843E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高处作业须确保踩踏物牢靠。作业人员应身体健康，并做好自我安全防护工作。操作过程中应防止坠落物伤害他人。</w:t>
      </w:r>
    </w:p>
    <w:p w14:paraId="575ED1C0">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4</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11梯子、高登使用要求</w:t>
      </w:r>
    </w:p>
    <w:p w14:paraId="7572F1A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选用的梯子应能满足承重要求，长度应适当，方便操作。</w:t>
      </w:r>
    </w:p>
    <w:p w14:paraId="27C13A3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带电作业或在运行的设备附近作业时，应选择绝缘梯子。</w:t>
      </w:r>
    </w:p>
    <w:p w14:paraId="47B931FC">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使用梯子前应检查梯子是否完好。梯子配件应齐全，各部位连接应牢固，梯梁与踏板无歪斜、折断、松驰、破裂、腐朽、扭曲、变形等缺陷；</w:t>
      </w:r>
    </w:p>
    <w:p w14:paraId="2F790D7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折叠梯、伸缩梯应活动自如；伸缩梯的绳索应无破损和断股现象；金属梯踏板应做防滑处理，梯脚应装防滑绝缘橡胶垫。</w:t>
      </w:r>
    </w:p>
    <w:p w14:paraId="13141E12">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移动超过5米长的梯子，应用2个人抬，且不要在移动的梯子上摆放任何工具或东西。</w:t>
      </w:r>
    </w:p>
    <w:p w14:paraId="15BD61FE">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有架空线缆或其它障碍物的地方，不得举梯移动。</w:t>
      </w:r>
    </w:p>
    <w:p w14:paraId="65C74F5C">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梯子应安置平稳可靠。放置基础及所搭靠的支撑物要稳固，并能承受梯上最大负荷；地面应平整、无杂物、不湿滑。</w:t>
      </w:r>
    </w:p>
    <w:p w14:paraId="157C96F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梯子放置的斜度要适当，梯子上端的接触点与下端支撑点间水平距离宜等于接触点和支撑点间距离的1/4至1/3。</w:t>
      </w:r>
    </w:p>
    <w:p w14:paraId="60AC8FF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上下梯子时，应面向梯子，保持三点接触原则，且不得手持器物，不得携带笨重工具和材料。</w:t>
      </w:r>
    </w:p>
    <w:p w14:paraId="4ECC6B4F">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在梯子上工作应应穿橡胶底或其它类型的防滑鞋，不得两人或两个以上的人在同一梯子上工作（包括上下），不得斜着身子远探工作，不得一脚踏梯、另一脚踩在其它物件上，不得用腿、脚移动梯子，不得坐在梯子上操作。使用直梯时应站在距离梯顶不少于1米的梯蹬上。</w:t>
      </w:r>
    </w:p>
    <w:p w14:paraId="78491980">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使用高凳前应检查高凳是否牢固平稳，凳脚、踏板材质应结实。上、下高凳时不得携带笨重材料和工具，一个人不得脚踩两只高凳作业。</w:t>
      </w:r>
    </w:p>
    <w:p w14:paraId="44AA483A">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高凳上放置工具和器材时，人离开时应随手取下。搬移高凳时，应先检查、清理高凳上的工具和器材</w:t>
      </w:r>
      <w:r>
        <w:rPr>
          <w:rFonts w:hint="eastAsia" w:ascii="宋体" w:hAnsi="宋体" w:eastAsia="宋体" w:cs="宋体"/>
          <w:color w:val="auto"/>
          <w:kern w:val="2"/>
          <w:sz w:val="24"/>
          <w:szCs w:val="24"/>
          <w:lang w:eastAsia="zh-CN"/>
        </w:rPr>
        <w:t>。</w:t>
      </w:r>
    </w:p>
    <w:p w14:paraId="632BFED0">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4</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12人员密集场所施工要求</w:t>
      </w:r>
    </w:p>
    <w:p w14:paraId="68DCE13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在人员密集场所施工时，需在施工地点设置围挡，并设置专门人员在现场维持秩序，疏导人流。群众围观时应及时劝其离去。不得与群众发生冲突。</w:t>
      </w:r>
    </w:p>
    <w:p w14:paraId="09CB576E">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施工现场噪声白天应控制在60dB以下，夜间应控制在45dB以下。</w:t>
      </w:r>
    </w:p>
    <w:p w14:paraId="132599AA">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施工结束后，应车去围挡，并清扫现场，不得遗留施工垃圾、废料。</w:t>
      </w:r>
    </w:p>
    <w:p w14:paraId="3D5FD9C9">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rPr>
        <w:t>3</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4</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13电动工具使用安全</w:t>
      </w:r>
    </w:p>
    <w:p w14:paraId="217FA0CE">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作业前需检查</w:t>
      </w:r>
    </w:p>
    <w:p w14:paraId="1FA0C5F0">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外壳、手柄不出现裂缝、破损；</w:t>
      </w:r>
    </w:p>
    <w:p w14:paraId="2FC3CAEC">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电缆软线及插头等完好无损，开关动作正常，保护接零连接正确、牢固可靠；</w:t>
      </w:r>
    </w:p>
    <w:p w14:paraId="4468284A">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各部防护罩齐全牢固，电气保护装置可靠。 </w:t>
      </w:r>
    </w:p>
    <w:p w14:paraId="1CC8F6DD">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机具启动后</w:t>
      </w:r>
    </w:p>
    <w:p w14:paraId="3DF94C19">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应空载运转，应检查并确认机具联动灵活无阻。作业时，加力应平稳，不得用力过猛。 </w:t>
      </w:r>
    </w:p>
    <w:p w14:paraId="116665DA">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作业时应掌握电钻或电锤手柄，打孔时先将钻头抵在工作表面，然后开动，用力适度，避免晃动；转速若急剧下降，应减少用力，防止电机过载，严禁用木杠加压。</w:t>
      </w:r>
    </w:p>
    <w:p w14:paraId="1F067AD9">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钻孔时，应注意避开混凝土中的钢筋。电钻和电锤为40％断续工作制，不得长时间连续使用。严禁超载使用。作业中应注意音响及温升，发现异常应立即停机检查。在作业时间过长，机具温升超过60℃时，应停机，自然冷却后再行作业。作业中，不得用手触摸刃具、模具和砂轮，发现其有磨钝、破损情况时，应立即停机修整或更换，然后再继续进行作业。机具转动时，不得撒手不管，不得戴手套。</w:t>
      </w:r>
    </w:p>
    <w:p w14:paraId="2CE54267">
      <w:pPr>
        <w:keepNext/>
        <w:keepLines/>
        <w:pageBreakBefore w:val="0"/>
        <w:widowControl/>
        <w:tabs>
          <w:tab w:val="left" w:pos="756"/>
        </w:tabs>
        <w:kinsoku/>
        <w:wordWrap/>
        <w:overflowPunct/>
        <w:topLinePunct w:val="0"/>
        <w:autoSpaceDE/>
        <w:autoSpaceDN/>
        <w:bidi w:val="0"/>
        <w:spacing w:line="440" w:lineRule="exact"/>
        <w:ind w:firstLine="480" w:firstLineChars="200"/>
        <w:jc w:val="left"/>
        <w:outlineLvl w:val="1"/>
        <w:rPr>
          <w:rFonts w:hint="eastAsia" w:ascii="宋体" w:hAnsi="宋体" w:eastAsia="宋体" w:cs="宋体"/>
          <w:color w:val="auto"/>
          <w:kern w:val="0"/>
          <w:sz w:val="24"/>
          <w:szCs w:val="24"/>
          <w:lang w:val="en-US" w:eastAsia="zh-CN" w:bidi="ar-SA"/>
        </w:rPr>
      </w:pPr>
      <w:bookmarkStart w:id="252" w:name="_Toc271"/>
      <w:r>
        <w:rPr>
          <w:rFonts w:hint="eastAsia" w:ascii="宋体" w:hAnsi="宋体" w:eastAsia="宋体" w:cs="宋体"/>
          <w:color w:val="auto"/>
          <w:kern w:val="0"/>
          <w:sz w:val="24"/>
          <w:szCs w:val="24"/>
          <w:lang w:val="en-US" w:eastAsia="zh-CN" w:bidi="ar-SA"/>
        </w:rPr>
        <w:t>4  消防</w:t>
      </w:r>
      <w:bookmarkEnd w:id="252"/>
    </w:p>
    <w:p w14:paraId="1CA7C0B9">
      <w:pPr>
        <w:keepNext/>
        <w:keepLines/>
        <w:pageBreakBefore w:val="0"/>
        <w:widowControl/>
        <w:kinsoku/>
        <w:wordWrap/>
        <w:overflowPunct/>
        <w:topLinePunct w:val="0"/>
        <w:autoSpaceDE/>
        <w:autoSpaceDN/>
        <w:bidi w:val="0"/>
        <w:spacing w:line="440" w:lineRule="exact"/>
        <w:ind w:firstLine="480" w:firstLineChars="200"/>
        <w:jc w:val="left"/>
        <w:outlineLvl w:val="2"/>
        <w:rPr>
          <w:rFonts w:hint="eastAsia" w:ascii="宋体" w:hAnsi="宋体" w:eastAsia="宋体" w:cs="宋体"/>
          <w:color w:val="auto"/>
          <w:kern w:val="2"/>
          <w:sz w:val="24"/>
          <w:szCs w:val="24"/>
          <w:lang w:val="en-US" w:eastAsia="zh-CN" w:bidi="ar-SA"/>
        </w:rPr>
      </w:pPr>
      <w:bookmarkStart w:id="253" w:name="_Toc2367"/>
      <w:r>
        <w:rPr>
          <w:rFonts w:hint="eastAsia" w:ascii="宋体" w:hAnsi="宋体" w:eastAsia="宋体" w:cs="宋体"/>
          <w:color w:val="auto"/>
          <w:kern w:val="2"/>
          <w:sz w:val="24"/>
          <w:szCs w:val="24"/>
          <w:lang w:val="en-US" w:eastAsia="zh-CN" w:bidi="ar-SA"/>
        </w:rPr>
        <w:t>4.1  一般要求</w:t>
      </w:r>
      <w:bookmarkEnd w:id="253"/>
    </w:p>
    <w:p w14:paraId="6376715B">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在项目建设中，将遵循“预防为主，消防结合”的方针，严格贯彻执行国家《建筑设计防火规划》。本期消防采取以下措施：</w:t>
      </w:r>
    </w:p>
    <w:p w14:paraId="5BB1959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1、严格按照国家规定，选购符合国家规定标准或使用许可的设备（如空调、不间断供电电源等）。</w:t>
      </w:r>
    </w:p>
    <w:p w14:paraId="11472982">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2、建筑物按防火规定，设置防火门、疏散通道、消防电梯、安全出入口、火灾自动报警系统等，建筑物内部装修选用不燃性和难燃性材料。</w:t>
      </w:r>
    </w:p>
    <w:p w14:paraId="4C58D992">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3、机房内宜设置火灾自动报警系统和气体灭火系统。</w:t>
      </w:r>
    </w:p>
    <w:p w14:paraId="6112F4F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4、建筑的机房内均应配置手提式灭火器或移动式灭火器。</w:t>
      </w:r>
    </w:p>
    <w:p w14:paraId="360265AB">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5、机房及楼道应配置手提式或移动式灭火器、防毒面具。消防通道有疏散指示，通道内不得堆放杂物和易燃物品，不得封堵消防疏散通道，以利发生火灾时安全疏散人员。</w:t>
      </w:r>
    </w:p>
    <w:p w14:paraId="646A299E">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6、建筑物内外，严格按照国家消防规定设置消防设施、通道和各种指示标志。</w:t>
      </w:r>
    </w:p>
    <w:p w14:paraId="6685448B">
      <w:pPr>
        <w:keepNext/>
        <w:keepLines/>
        <w:pageBreakBefore w:val="0"/>
        <w:widowControl/>
        <w:kinsoku/>
        <w:wordWrap/>
        <w:overflowPunct/>
        <w:topLinePunct w:val="0"/>
        <w:autoSpaceDE/>
        <w:autoSpaceDN/>
        <w:bidi w:val="0"/>
        <w:spacing w:line="440" w:lineRule="exact"/>
        <w:ind w:firstLine="480" w:firstLineChars="200"/>
        <w:jc w:val="left"/>
        <w:outlineLvl w:val="2"/>
        <w:rPr>
          <w:rFonts w:hint="eastAsia" w:ascii="宋体" w:hAnsi="宋体" w:eastAsia="宋体" w:cs="宋体"/>
          <w:color w:val="auto"/>
          <w:kern w:val="2"/>
          <w:sz w:val="24"/>
          <w:szCs w:val="24"/>
          <w:lang w:val="en-US" w:eastAsia="zh-CN" w:bidi="ar-SA"/>
        </w:rPr>
      </w:pPr>
      <w:bookmarkStart w:id="254" w:name="_Toc19544"/>
      <w:r>
        <w:rPr>
          <w:rFonts w:hint="eastAsia" w:ascii="宋体" w:hAnsi="宋体" w:eastAsia="宋体" w:cs="宋体"/>
          <w:color w:val="auto"/>
          <w:kern w:val="2"/>
          <w:sz w:val="24"/>
          <w:szCs w:val="24"/>
          <w:lang w:val="en-US" w:eastAsia="zh-CN" w:bidi="ar-SA"/>
        </w:rPr>
        <w:t>4.2  防火封堵要求</w:t>
      </w:r>
      <w:bookmarkEnd w:id="254"/>
    </w:p>
    <w:p w14:paraId="615A8C44">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1、光缆穿越楼板、墙体的孔洞敷设后，必须采用防火封堵材料将孔洞封堵严密。</w:t>
      </w:r>
    </w:p>
    <w:p w14:paraId="7678FDC3">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电缆井、管道井应在楼板处用耐火极限不低于1.5h的非燃烧体作为防火分隔，通过楼板的孔洞，电缆与楼板的孔隙应用非燃烧材料密封，通向其他房间的地槽、墙上的孔洞，已装电缆者。其与墙体的孔隙亦宜采用非燃烧材料封隔，凡近期不使用者均宜用非燃烧材料封闭。</w:t>
      </w:r>
    </w:p>
    <w:p w14:paraId="32ADE290">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防火封堵应当综合考虑贯穿物、贯穿孔口类型、建筑缝隙的类型以及机房环境等因素，选择适当的防火封堵组件；防火封堵组件的耐火极限不应当低于被贯穿物的耐火极限；防火封堵材料应当符合国家和行业标准要求；应用于重点区域的防火封堵，应当具有良好的耐久和烟密性能。</w:t>
      </w:r>
    </w:p>
    <w:p w14:paraId="47B966BE">
      <w:pPr>
        <w:keepNext/>
        <w:keepLines/>
        <w:pageBreakBefore w:val="0"/>
        <w:widowControl/>
        <w:kinsoku/>
        <w:wordWrap/>
        <w:overflowPunct/>
        <w:topLinePunct w:val="0"/>
        <w:autoSpaceDE/>
        <w:autoSpaceDN/>
        <w:bidi w:val="0"/>
        <w:spacing w:line="440" w:lineRule="exact"/>
        <w:ind w:firstLine="480" w:firstLineChars="200"/>
        <w:jc w:val="left"/>
        <w:outlineLvl w:val="2"/>
        <w:rPr>
          <w:rFonts w:hint="eastAsia" w:ascii="宋体" w:hAnsi="宋体" w:eastAsia="宋体" w:cs="宋体"/>
          <w:color w:val="auto"/>
          <w:kern w:val="2"/>
          <w:sz w:val="24"/>
          <w:szCs w:val="24"/>
          <w:lang w:val="en-US" w:eastAsia="zh-CN" w:bidi="ar-SA"/>
        </w:rPr>
      </w:pPr>
      <w:bookmarkStart w:id="255" w:name="_Toc24838"/>
      <w:r>
        <w:rPr>
          <w:rFonts w:hint="eastAsia" w:ascii="宋体" w:hAnsi="宋体" w:eastAsia="宋体" w:cs="宋体"/>
          <w:color w:val="auto"/>
          <w:kern w:val="2"/>
          <w:sz w:val="24"/>
          <w:szCs w:val="24"/>
          <w:lang w:val="en-US" w:eastAsia="zh-CN" w:bidi="ar-SA"/>
        </w:rPr>
        <w:t>4.3  施工现场防火要求</w:t>
      </w:r>
      <w:bookmarkEnd w:id="255"/>
    </w:p>
    <w:p w14:paraId="1E9BD95F">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1、施工单位应当在施工现场建立消防安全责任制度，并确定消防安全责任人，制定用火、用电、使用易燃易爆材料等各项消防安全管理制度和操作规程。</w:t>
      </w:r>
    </w:p>
    <w:p w14:paraId="100B2427">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2、施工现场应配备必要的消防器材。消防器材设置地点应合理，便于取用，使用方法应明示。</w:t>
      </w:r>
    </w:p>
    <w:p w14:paraId="040172BA">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3、施工现场配备的消防器材应完好无损且在有效期内。</w:t>
      </w:r>
    </w:p>
    <w:p w14:paraId="26B3DA6C">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人员首次进人施工现场，应首先了解消防设施、器材的设置点，不得随意挪动。作业人员进入新的岗位或者新的施工现场前或在采用新技术、新工艺、新设备、新材料时，应当对作业人员进行相应安全生产教育培训。</w:t>
      </w:r>
    </w:p>
    <w:p w14:paraId="69F9CB46">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5、不得堵塞消防通道、遮挡消防设施。机房施工、扩容、维修等设备包装材料以及电报纸、打印纸等易燃物品，要随用随清随运，不得堆放在机房内和走廊通道上。</w:t>
      </w:r>
    </w:p>
    <w:p w14:paraId="4545F2BF">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6、电气设备着火时，应首先切断电源，必须使用干粉灭火器，严禁使用水和泡沫灭火器。</w:t>
      </w:r>
    </w:p>
    <w:p w14:paraId="6D6945CF">
      <w:pPr>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7、在封闭和特殊要求的施工场所严禁吸烟。</w:t>
      </w:r>
    </w:p>
    <w:p w14:paraId="391750C0">
      <w:pPr>
        <w:pStyle w:val="199"/>
        <w:pageBreakBefore w:val="0"/>
        <w:kinsoku/>
        <w:wordWrap/>
        <w:overflowPunct/>
        <w:topLinePunct w:val="0"/>
        <w:autoSpaceDE/>
        <w:autoSpaceDN/>
        <w:bidi w:val="0"/>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rPr>
        <w:t>8、机房内施工不得使用明火。需要使用明火时应经相关单位部门批准，落实安全防火措施，并在指定的地点、时间内作业。每天施工结束后必须认真清理现场，消除火种。</w:t>
      </w:r>
    </w:p>
    <w:p w14:paraId="157C05E4">
      <w:pPr>
        <w:pStyle w:val="199"/>
        <w:pageBreakBefore w:val="0"/>
        <w:kinsoku/>
        <w:wordWrap/>
        <w:overflowPunct/>
        <w:topLinePunct w:val="0"/>
        <w:autoSpaceDE/>
        <w:autoSpaceDN/>
        <w:bidi w:val="0"/>
        <w:spacing w:line="44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注：1、</w:t>
      </w:r>
      <w:r>
        <w:rPr>
          <w:rFonts w:hint="eastAsia" w:ascii="宋体" w:hAnsi="宋体" w:eastAsia="宋体" w:cs="宋体"/>
          <w:b/>
          <w:bCs/>
          <w:color w:val="auto"/>
          <w:sz w:val="24"/>
          <w:szCs w:val="24"/>
          <w:highlight w:val="none"/>
          <w:lang w:eastAsia="zh-CN"/>
        </w:rPr>
        <w:t>本项目</w:t>
      </w:r>
      <w:r>
        <w:rPr>
          <w:rFonts w:hint="eastAsia" w:ascii="宋体" w:hAnsi="宋体" w:eastAsia="宋体" w:cs="宋体"/>
          <w:b/>
          <w:bCs/>
          <w:color w:val="auto"/>
          <w:sz w:val="24"/>
          <w:szCs w:val="24"/>
          <w:highlight w:val="none"/>
        </w:rPr>
        <w:t>中标</w:t>
      </w:r>
      <w:r>
        <w:rPr>
          <w:rFonts w:hint="eastAsia" w:ascii="宋体" w:hAnsi="宋体" w:eastAsia="宋体" w:cs="宋体"/>
          <w:b/>
          <w:bCs/>
          <w:color w:val="auto"/>
          <w:sz w:val="24"/>
          <w:szCs w:val="24"/>
          <w:highlight w:val="none"/>
          <w:lang w:val="en-US" w:eastAsia="zh-CN"/>
        </w:rPr>
        <w:t>公告发布之日起2日内，中标人到采购人指定地点</w:t>
      </w:r>
      <w:r>
        <w:rPr>
          <w:rFonts w:hint="eastAsia" w:ascii="宋体" w:hAnsi="宋体" w:eastAsia="宋体" w:cs="宋体"/>
          <w:b/>
          <w:bCs/>
          <w:color w:val="auto"/>
          <w:sz w:val="24"/>
          <w:szCs w:val="24"/>
          <w:highlight w:val="none"/>
        </w:rPr>
        <w:t>对以上平台对接进行现场演示，如无法完成平台对接或无法保证数据传输的完整性和稳定性</w:t>
      </w:r>
      <w:r>
        <w:rPr>
          <w:rFonts w:hint="eastAsia" w:ascii="宋体" w:hAnsi="宋体" w:eastAsia="宋体" w:cs="宋体"/>
          <w:b/>
          <w:bCs/>
          <w:color w:val="auto"/>
          <w:sz w:val="24"/>
          <w:szCs w:val="24"/>
          <w:highlight w:val="none"/>
          <w:lang w:val="en-US" w:eastAsia="zh-CN"/>
        </w:rPr>
        <w:t>由中标方承担不利后果</w:t>
      </w:r>
      <w:r>
        <w:rPr>
          <w:rFonts w:hint="eastAsia" w:ascii="宋体" w:hAnsi="宋体" w:eastAsia="宋体" w:cs="宋体"/>
          <w:b/>
          <w:bCs/>
          <w:color w:val="auto"/>
          <w:sz w:val="24"/>
          <w:szCs w:val="24"/>
          <w:highlight w:val="none"/>
          <w:lang w:eastAsia="zh-CN"/>
        </w:rPr>
        <w:t>。投标人所投材料视为虚假响应，甲方有权另行选择合格的中标人。</w:t>
      </w:r>
    </w:p>
    <w:p w14:paraId="60F394C5">
      <w:pPr>
        <w:pStyle w:val="197"/>
        <w:pageBreakBefore w:val="0"/>
        <w:widowControl w:val="0"/>
        <w:kinsoku/>
        <w:wordWrap/>
        <w:overflowPunct/>
        <w:topLinePunct w:val="0"/>
        <w:autoSpaceDE/>
        <w:autoSpaceDN/>
        <w:bidi w:val="0"/>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2、投标人投标前应充分了解招标的实际需求，投标前可到公安后端对各类现有平台进行勘察测试，充分理解设计意图，保证接入各类数据可以对接各类平台的使用功能和深度应用。</w:t>
      </w:r>
    </w:p>
    <w:p w14:paraId="5C1DB577">
      <w:pPr>
        <w:pStyle w:val="197"/>
        <w:pageBreakBefore w:val="0"/>
        <w:widowControl w:val="0"/>
        <w:kinsoku/>
        <w:wordWrap/>
        <w:overflowPunct/>
        <w:topLinePunct w:val="0"/>
        <w:autoSpaceDE/>
        <w:autoSpaceDN/>
        <w:bidi w:val="0"/>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3、投标人需协调对接各类平台和推送各类数据，所产生的任何费用均由投标人自行承担（包括对接所需的所有软硬件）。</w:t>
      </w:r>
    </w:p>
    <w:p w14:paraId="5F7F860A">
      <w:pPr>
        <w:pStyle w:val="197"/>
        <w:pageBreakBefore w:val="0"/>
        <w:widowControl w:val="0"/>
        <w:kinsoku/>
        <w:wordWrap/>
        <w:overflowPunct/>
        <w:topLinePunct w:val="0"/>
        <w:autoSpaceDE/>
        <w:autoSpaceDN/>
        <w:bidi w:val="0"/>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5、本项目所有传输设备接口均需达到千兆或以上等级如交换机、光纤收发器等，光纤传输带宽均须达到千兆或以上并且保证画面稳定，无卡顿、无跳帧、无延时等。</w:t>
      </w:r>
    </w:p>
    <w:p w14:paraId="553C6EC4">
      <w:pPr>
        <w:pStyle w:val="197"/>
        <w:pageBreakBefore w:val="0"/>
        <w:widowControl w:val="0"/>
        <w:kinsoku/>
        <w:wordWrap/>
        <w:overflowPunct/>
        <w:topLinePunct w:val="0"/>
        <w:autoSpaceDE/>
        <w:autoSpaceDN/>
        <w:bidi w:val="0"/>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6、以上内容中标后应在指定工期内完成，如若完不成则视为虚假响应，甲方有权终止合同并追究相应法律责任。</w:t>
      </w:r>
    </w:p>
    <w:p w14:paraId="1662BEEA">
      <w:pPr>
        <w:pStyle w:val="197"/>
        <w:pageBreakBefore w:val="0"/>
        <w:widowControl w:val="0"/>
        <w:kinsoku/>
        <w:wordWrap/>
        <w:overflowPunct/>
        <w:topLinePunct w:val="0"/>
        <w:autoSpaceDE/>
        <w:autoSpaceDN/>
        <w:bidi w:val="0"/>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包含质保期内本项目建设的所有点位设备数据安全稳定回传至后端应用平台（保证画面稳定，无卡顿、无跳帧、无延时等，数据传输服务由中标单位自行查勘现场、建设或采购，业主单位不负责另外协调或支付费用，且不得影响原有在用设备的传输质量。如某点位因本次建设影响已在用设备，本次中标单位需负责同点位已在用所有设备的数据传输服务及维保服务直至本次项目的质保期满）。</w:t>
      </w:r>
    </w:p>
    <w:p w14:paraId="45DA223B">
      <w:pPr>
        <w:pStyle w:val="197"/>
        <w:pageBreakBefore w:val="0"/>
        <w:widowControl w:val="0"/>
        <w:kinsoku/>
        <w:wordWrap/>
        <w:overflowPunct/>
        <w:topLinePunct w:val="0"/>
        <w:autoSpaceDE/>
        <w:autoSpaceDN/>
        <w:bidi w:val="0"/>
        <w:spacing w:line="44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8、本项目所有采购设备及服务中标后甲方有权核实投标产品或服务是否符合招标要求，如发现有虚假</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rPr>
        <w:t>现象，甲方有权拒签合同。</w:t>
      </w:r>
      <w:r>
        <w:rPr>
          <w:rFonts w:hint="eastAsia" w:ascii="宋体" w:hAnsi="宋体" w:eastAsia="宋体" w:cs="宋体"/>
          <w:b/>
          <w:bCs/>
          <w:color w:val="auto"/>
          <w:sz w:val="24"/>
          <w:szCs w:val="24"/>
          <w:highlight w:val="none"/>
          <w:lang w:eastAsia="zh-CN"/>
        </w:rPr>
        <w:t>核实所产生的费用由投标人考虑至报价中，甲方不再另行支付。</w:t>
      </w:r>
    </w:p>
    <w:p w14:paraId="4894D04D">
      <w:pPr>
        <w:pStyle w:val="197"/>
        <w:pageBreakBefore w:val="0"/>
        <w:widowControl w:val="0"/>
        <w:kinsoku/>
        <w:wordWrap/>
        <w:overflowPunct/>
        <w:topLinePunct w:val="0"/>
        <w:autoSpaceDE/>
        <w:autoSpaceDN/>
        <w:bidi w:val="0"/>
        <w:spacing w:line="440" w:lineRule="exact"/>
        <w:ind w:firstLine="482" w:firstLineChars="200"/>
        <w:rPr>
          <w:rFonts w:hint="eastAsia" w:ascii="宋体" w:hAnsi="宋体" w:eastAsia="宋体" w:cs="宋体"/>
          <w:bCs/>
          <w:color w:val="auto"/>
          <w:sz w:val="44"/>
          <w:highlight w:val="none"/>
        </w:rPr>
      </w:pPr>
      <w:r>
        <w:rPr>
          <w:rFonts w:hint="eastAsia" w:ascii="宋体" w:hAnsi="宋体" w:eastAsia="宋体" w:cs="宋体"/>
          <w:b/>
          <w:bCs/>
          <w:color w:val="auto"/>
          <w:sz w:val="24"/>
          <w:szCs w:val="24"/>
          <w:highlight w:val="none"/>
          <w:lang w:val="en-US" w:eastAsia="zh-CN"/>
        </w:rPr>
        <w:t>9、在质保期内，中标方应确保每月（以每月的23日统计数据为准，注：23日为节假日的，延后到下一个工作日）的监控在线率达95%及以上（如投标人承诺高于95%，以投标人承诺为准）。</w:t>
      </w:r>
    </w:p>
    <w:p w14:paraId="5A121B95">
      <w:pPr>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br w:type="page" w:clear="all"/>
      </w:r>
    </w:p>
    <w:p w14:paraId="4CCDD481">
      <w:pPr>
        <w:pStyle w:val="31"/>
        <w:spacing w:beforeAutospacing="0" w:afterAutospacing="0"/>
        <w:jc w:val="center"/>
        <w:rPr>
          <w:rFonts w:hint="eastAsia" w:ascii="宋体" w:hAnsi="宋体" w:eastAsia="宋体" w:cs="宋体"/>
          <w:color w:val="auto"/>
          <w:highlight w:val="none"/>
        </w:rPr>
      </w:pPr>
      <w:bookmarkStart w:id="256" w:name="_Toc120614281"/>
      <w:r>
        <w:rPr>
          <w:rFonts w:hint="eastAsia" w:ascii="宋体" w:hAnsi="宋体" w:eastAsia="宋体" w:cs="宋体"/>
          <w:b/>
          <w:bCs/>
          <w:color w:val="auto"/>
          <w:sz w:val="44"/>
          <w:szCs w:val="44"/>
          <w:highlight w:val="none"/>
        </w:rPr>
        <w:t>第五章 评标方法与评标标准</w:t>
      </w:r>
    </w:p>
    <w:p w14:paraId="1D34133A">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DCCCC0A">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采用综合评分法的，评标结果按评审后得分由高到低顺序排列。得分相同的，按投标报价由低到高顺序排列。得分且投标报价相同的由评标委员会抽签确定排列顺序。投标文件满足招标文件全部实质性要求，且按照评审因素的量化指标评审得分最高的投标人为中标候选人。本项目选取1名中标候选人。</w:t>
      </w:r>
    </w:p>
    <w:p w14:paraId="29A60BA8">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2" w:firstLineChars="200"/>
        <w:textAlignment w:val="auto"/>
        <w:rPr>
          <w:rFonts w:hint="eastAsia" w:ascii="宋体" w:hAnsi="宋体" w:eastAsia="宋体" w:cs="宋体"/>
          <w:color w:val="auto"/>
          <w:highlight w:val="none"/>
        </w:rPr>
      </w:pPr>
      <w:r>
        <w:rPr>
          <w:rFonts w:hint="eastAsia" w:ascii="宋体" w:hAnsi="宋体" w:eastAsia="宋体" w:cs="宋体"/>
          <w:b/>
          <w:color w:val="auto"/>
          <w:highlight w:val="none"/>
        </w:rPr>
        <w:t>政府采购政策功能落实</w:t>
      </w:r>
    </w:p>
    <w:p w14:paraId="7E5FE325">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1、小微型企业价格扣除</w:t>
      </w:r>
    </w:p>
    <w:p w14:paraId="229BC56E">
      <w:pPr>
        <w:pStyle w:val="192"/>
        <w:keepNext w:val="0"/>
        <w:keepLines w:val="0"/>
        <w:pageBreakBefore w:val="0"/>
        <w:widowControl w:val="0"/>
        <w:kinsoku/>
        <w:wordWrap/>
        <w:overflowPunct/>
        <w:topLinePunct w:val="0"/>
        <w:autoSpaceDE/>
        <w:autoSpaceDN/>
        <w:bidi w:val="0"/>
        <w:adjustRightInd/>
        <w:snapToGrid/>
        <w:spacing w:before="0" w:after="0" w:line="440" w:lineRule="exact"/>
        <w:ind w:left="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（1）本项目不专门面向中小企业采购，对</w:t>
      </w:r>
      <w:r>
        <w:rPr>
          <w:rFonts w:hint="eastAsia" w:ascii="宋体" w:hAnsi="宋体" w:eastAsia="宋体" w:cs="宋体"/>
          <w:color w:val="auto"/>
          <w:highlight w:val="none"/>
          <w:lang w:val="en-US" w:eastAsia="zh-CN"/>
        </w:rPr>
        <w:t>符合规定的</w:t>
      </w:r>
      <w:r>
        <w:rPr>
          <w:rFonts w:hint="eastAsia" w:ascii="宋体" w:hAnsi="宋体" w:eastAsia="宋体" w:cs="宋体"/>
          <w:color w:val="auto"/>
          <w:highlight w:val="none"/>
        </w:rPr>
        <w:t>小型和微型企业</w:t>
      </w:r>
      <w:r>
        <w:rPr>
          <w:rFonts w:hint="eastAsia" w:ascii="宋体" w:hAnsi="宋体" w:eastAsia="宋体" w:cs="宋体"/>
          <w:color w:val="auto"/>
          <w:highlight w:val="none"/>
          <w:lang w:val="en-US" w:eastAsia="zh-CN"/>
        </w:rPr>
        <w:t>报价</w:t>
      </w:r>
      <w:r>
        <w:rPr>
          <w:rFonts w:hint="eastAsia" w:ascii="宋体" w:hAnsi="宋体" w:eastAsia="宋体" w:cs="宋体"/>
          <w:color w:val="auto"/>
          <w:highlight w:val="none"/>
        </w:rPr>
        <w:t>给予20%的扣除价格，用扣除后的价格参与评审。</w:t>
      </w:r>
    </w:p>
    <w:p w14:paraId="56E75153">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（2）供应商需按照采购文件的要求提供相应的《小微企业声明函》。</w:t>
      </w:r>
    </w:p>
    <w:p w14:paraId="38EED43F">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（3）企业标准请参照《关于印发中小企业划型标准规定的通知》（工信部联企业[2011]300号）文件规定自行填写。</w:t>
      </w:r>
    </w:p>
    <w:p w14:paraId="67AE9D32">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2、残疾人福利单位价格扣除</w:t>
      </w:r>
    </w:p>
    <w:p w14:paraId="50C1363B">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（1）本项目对残疾人福利性单位视同小型、微型企业，给予</w:t>
      </w:r>
      <w:r>
        <w:rPr>
          <w:rFonts w:hint="eastAsia" w:ascii="宋体" w:hAnsi="宋体" w:eastAsia="宋体" w:cs="宋体"/>
          <w:color w:val="auto"/>
          <w:highlight w:val="none"/>
          <w:u w:val="single"/>
        </w:rPr>
        <w:t>20%</w:t>
      </w:r>
      <w:r>
        <w:rPr>
          <w:rFonts w:hint="eastAsia" w:ascii="宋体" w:hAnsi="宋体" w:eastAsia="宋体" w:cs="宋体"/>
          <w:color w:val="auto"/>
          <w:highlight w:val="none"/>
        </w:rPr>
        <w:t>的价格扣除</w:t>
      </w:r>
      <w:r>
        <w:rPr>
          <w:rFonts w:hint="eastAsia" w:ascii="宋体" w:hAnsi="宋体" w:eastAsia="宋体" w:cs="宋体"/>
          <w:color w:val="auto"/>
          <w:highlight w:val="none"/>
          <w:lang w:eastAsia="zh-CN"/>
        </w:rPr>
        <w:t>。</w:t>
      </w:r>
    </w:p>
    <w:p w14:paraId="50394EF1">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（2）残疾人福利单位需按照采购文件的要求提供《残疾人福利性单位声明函》。</w:t>
      </w:r>
    </w:p>
    <w:p w14:paraId="68A7E634">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（3）残疾人福利单位标准请参照《关于促进残疾人就业政府采购政策的通知》（财库〔2017〕141号）。</w:t>
      </w:r>
    </w:p>
    <w:p w14:paraId="4ED96F79">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3、监狱和戒毒企业价格扣除</w:t>
      </w:r>
    </w:p>
    <w:p w14:paraId="1AEB31E2">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（1）本项目对监狱和戒毒企业（简称监狱企业）视同小型、微型企业，给予</w:t>
      </w:r>
      <w:r>
        <w:rPr>
          <w:rFonts w:hint="eastAsia" w:ascii="宋体" w:hAnsi="宋体" w:eastAsia="宋体" w:cs="宋体"/>
          <w:color w:val="auto"/>
          <w:highlight w:val="none"/>
          <w:u w:val="single"/>
        </w:rPr>
        <w:t>20%</w:t>
      </w:r>
      <w:r>
        <w:rPr>
          <w:rFonts w:hint="eastAsia" w:ascii="宋体" w:hAnsi="宋体" w:eastAsia="宋体" w:cs="宋体"/>
          <w:color w:val="auto"/>
          <w:highlight w:val="none"/>
        </w:rPr>
        <w:t>的价格扣除</w:t>
      </w:r>
      <w:r>
        <w:rPr>
          <w:rFonts w:hint="eastAsia" w:ascii="宋体" w:hAnsi="宋体" w:eastAsia="宋体" w:cs="宋体"/>
          <w:color w:val="auto"/>
          <w:highlight w:val="none"/>
          <w:lang w:eastAsia="zh-CN"/>
        </w:rPr>
        <w:t>。</w:t>
      </w:r>
    </w:p>
    <w:p w14:paraId="098C6455">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（2）监狱企业参加政府采购活动时，需提供由省级以上监狱管理局、戒毒管理局(含新疆生产建设兵团)出具的属于监狱企业的证明文件。供应商如不提供上述证明文件，价格将不做相应扣除。</w:t>
      </w:r>
    </w:p>
    <w:p w14:paraId="54039414">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（3）监狱企业标准请参照《关于政府采购支持监狱企业发展有关问题的通知》（财库[2014]68号）。</w:t>
      </w:r>
    </w:p>
    <w:p w14:paraId="6A3478E2">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4、残疾人福利单位、监狱企业属于小型、微型企业的，不重复享受政策。</w:t>
      </w:r>
    </w:p>
    <w:p w14:paraId="6ED3C3EF">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5、本项目</w:t>
      </w:r>
      <w:r>
        <w:rPr>
          <w:rFonts w:hint="eastAsia" w:ascii="宋体" w:hAnsi="宋体" w:eastAsia="宋体" w:cs="宋体"/>
          <w:color w:val="auto"/>
          <w:highlight w:val="none"/>
          <w:lang w:val="en-US" w:eastAsia="zh-CN"/>
        </w:rPr>
        <w:t>不接受</w:t>
      </w:r>
      <w:r>
        <w:rPr>
          <w:rFonts w:hint="eastAsia" w:ascii="宋体" w:hAnsi="宋体" w:eastAsia="宋体" w:cs="宋体"/>
          <w:color w:val="auto"/>
          <w:highlight w:val="none"/>
        </w:rPr>
        <w:t>联合体投标。</w:t>
      </w:r>
    </w:p>
    <w:p w14:paraId="723E26F4">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如属政府强制采购产品未提供认证证书的或认证证书提供不全的将视为未实质性响应采购要求</w:t>
      </w:r>
      <w:r>
        <w:rPr>
          <w:rFonts w:hint="eastAsia" w:ascii="宋体" w:hAnsi="宋体" w:eastAsia="宋体" w:cs="宋体"/>
          <w:i/>
          <w:color w:val="auto"/>
          <w:sz w:val="24"/>
          <w:highlight w:val="none"/>
        </w:rPr>
        <w:t>。</w:t>
      </w:r>
      <w:r>
        <w:rPr>
          <w:rFonts w:hint="eastAsia" w:ascii="宋体" w:hAnsi="宋体" w:eastAsia="宋体" w:cs="宋体"/>
          <w:color w:val="auto"/>
          <w:sz w:val="24"/>
          <w:highlight w:val="none"/>
        </w:rPr>
        <w:t>其他条件相同情况下，应当优先采购节能产品、环境标志产品。</w:t>
      </w:r>
    </w:p>
    <w:p w14:paraId="1B47288D">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2" w:firstLineChars="200"/>
        <w:textAlignment w:val="auto"/>
        <w:rPr>
          <w:rFonts w:hint="eastAsia" w:ascii="宋体" w:hAnsi="宋体" w:eastAsia="宋体" w:cs="宋体"/>
          <w:color w:val="auto"/>
          <w:highlight w:val="none"/>
        </w:rPr>
      </w:pPr>
      <w:r>
        <w:rPr>
          <w:rFonts w:hint="eastAsia" w:ascii="宋体" w:hAnsi="宋体" w:eastAsia="宋体" w:cs="宋体"/>
          <w:b/>
          <w:color w:val="auto"/>
          <w:highlight w:val="none"/>
        </w:rPr>
        <w:t>评标方法与评标标准</w:t>
      </w:r>
    </w:p>
    <w:tbl>
      <w:tblPr>
        <w:tblStyle w:val="34"/>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7"/>
        <w:gridCol w:w="978"/>
        <w:gridCol w:w="7843"/>
      </w:tblGrid>
      <w:tr w14:paraId="260CC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pct"/>
            <w:noWrap w:val="0"/>
            <w:vAlign w:val="center"/>
          </w:tcPr>
          <w:p w14:paraId="0C8BA35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分项</w:t>
            </w:r>
          </w:p>
        </w:tc>
        <w:tc>
          <w:tcPr>
            <w:tcW w:w="492" w:type="pct"/>
            <w:noWrap w:val="0"/>
            <w:vAlign w:val="center"/>
          </w:tcPr>
          <w:p w14:paraId="216D729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分值</w:t>
            </w:r>
          </w:p>
        </w:tc>
        <w:tc>
          <w:tcPr>
            <w:tcW w:w="3944" w:type="pct"/>
            <w:noWrap w:val="0"/>
            <w:vAlign w:val="center"/>
          </w:tcPr>
          <w:p w14:paraId="44E007A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评分标准</w:t>
            </w:r>
          </w:p>
        </w:tc>
      </w:tr>
      <w:tr w14:paraId="172F6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pct"/>
            <w:noWrap w:val="0"/>
            <w:vAlign w:val="center"/>
          </w:tcPr>
          <w:p w14:paraId="26E076B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投标报价</w:t>
            </w:r>
          </w:p>
          <w:p w14:paraId="4E09524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（30分）</w:t>
            </w:r>
          </w:p>
        </w:tc>
        <w:tc>
          <w:tcPr>
            <w:tcW w:w="492" w:type="pct"/>
            <w:noWrap w:val="0"/>
            <w:vAlign w:val="center"/>
          </w:tcPr>
          <w:p w14:paraId="0930EA4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30分</w:t>
            </w:r>
          </w:p>
        </w:tc>
        <w:tc>
          <w:tcPr>
            <w:tcW w:w="3944" w:type="pct"/>
            <w:noWrap w:val="0"/>
            <w:vAlign w:val="center"/>
          </w:tcPr>
          <w:p w14:paraId="0FB3C9EE">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满足招标文件要求且投标价格最低的投标报价为评标基准价，投标报价得分=（评标基准价／投标报价）×30，计算分数时四舍五入取小数点后两位。（按四舍五入取至小数点后两位）</w:t>
            </w:r>
          </w:p>
          <w:p w14:paraId="1F40D20C">
            <w:pPr>
              <w:pStyle w:val="15"/>
              <w:keepNext w:val="0"/>
              <w:keepLines w:val="0"/>
              <w:pageBreakBefore w:val="0"/>
              <w:kinsoku/>
              <w:wordWrap/>
              <w:overflowPunct/>
              <w:topLinePunct w:val="0"/>
              <w:autoSpaceDE/>
              <w:autoSpaceDN/>
              <w:bidi w:val="0"/>
              <w:adjustRightInd/>
              <w:snapToGrid/>
              <w:spacing w:line="440" w:lineRule="exact"/>
              <w:ind w:left="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意：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6BE12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pct"/>
            <w:noWrap w:val="0"/>
            <w:vAlign w:val="center"/>
          </w:tcPr>
          <w:p w14:paraId="47D667E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技术参数</w:t>
            </w:r>
          </w:p>
          <w:p w14:paraId="18087A4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lang w:val="en-US" w:eastAsia="zh-CN" w:bidi="ar"/>
              </w:rPr>
              <w:t>36</w:t>
            </w:r>
            <w:r>
              <w:rPr>
                <w:rFonts w:hint="eastAsia" w:ascii="宋体" w:hAnsi="宋体" w:eastAsia="宋体" w:cs="宋体"/>
                <w:color w:val="auto"/>
                <w:sz w:val="21"/>
                <w:szCs w:val="21"/>
                <w:highlight w:val="none"/>
                <w:lang w:bidi="ar"/>
              </w:rPr>
              <w:t>分）</w:t>
            </w:r>
          </w:p>
        </w:tc>
        <w:tc>
          <w:tcPr>
            <w:tcW w:w="492" w:type="pct"/>
            <w:noWrap w:val="0"/>
            <w:vAlign w:val="center"/>
          </w:tcPr>
          <w:p w14:paraId="44D2629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36</w:t>
            </w:r>
            <w:r>
              <w:rPr>
                <w:rFonts w:hint="eastAsia" w:ascii="宋体" w:hAnsi="宋体" w:eastAsia="宋体" w:cs="宋体"/>
                <w:color w:val="auto"/>
                <w:sz w:val="21"/>
                <w:szCs w:val="21"/>
                <w:highlight w:val="none"/>
                <w:lang w:bidi="ar"/>
              </w:rPr>
              <w:t>分</w:t>
            </w:r>
          </w:p>
        </w:tc>
        <w:tc>
          <w:tcPr>
            <w:tcW w:w="3944" w:type="pct"/>
            <w:noWrap w:val="0"/>
            <w:vAlign w:val="center"/>
          </w:tcPr>
          <w:p w14:paraId="26AA4582">
            <w:pPr>
              <w:keepNext w:val="0"/>
              <w:keepLines w:val="0"/>
              <w:pageBreakBefore w:val="0"/>
              <w:widowControl/>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评委依据招标文件要求对投标人投标设备主要技术性能、配置、技术参数、功能描述及投标设备规格、技术配置参数，设备配置进行评审。</w:t>
            </w:r>
          </w:p>
          <w:p w14:paraId="6EB2FA39">
            <w:pPr>
              <w:keepNext w:val="0"/>
              <w:keepLines w:val="0"/>
              <w:pageBreakBefore w:val="0"/>
              <w:widowControl/>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项参数有一项不满足</w:t>
            </w:r>
            <w:r>
              <w:rPr>
                <w:rFonts w:hint="eastAsia" w:ascii="宋体" w:hAnsi="宋体" w:eastAsia="宋体" w:cs="宋体"/>
                <w:color w:val="auto"/>
                <w:sz w:val="21"/>
                <w:szCs w:val="21"/>
                <w:highlight w:val="none"/>
                <w:lang w:val="en-US" w:eastAsia="zh-CN"/>
              </w:rPr>
              <w:t>招标技术参数</w:t>
            </w:r>
            <w:r>
              <w:rPr>
                <w:rFonts w:hint="eastAsia" w:ascii="宋体" w:hAnsi="宋体" w:eastAsia="宋体" w:cs="宋体"/>
                <w:color w:val="auto"/>
                <w:sz w:val="21"/>
                <w:szCs w:val="21"/>
                <w:highlight w:val="none"/>
              </w:rPr>
              <w:t>扣</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完全满足招标</w:t>
            </w:r>
            <w:r>
              <w:rPr>
                <w:rFonts w:hint="eastAsia" w:ascii="宋体" w:hAnsi="宋体" w:eastAsia="宋体" w:cs="宋体"/>
                <w:color w:val="auto"/>
                <w:sz w:val="21"/>
                <w:szCs w:val="21"/>
                <w:highlight w:val="none"/>
                <w:lang w:eastAsia="zh-CN"/>
              </w:rPr>
              <w:t>技术</w:t>
            </w:r>
            <w:r>
              <w:rPr>
                <w:rFonts w:hint="eastAsia" w:ascii="宋体" w:hAnsi="宋体" w:eastAsia="宋体" w:cs="宋体"/>
                <w:color w:val="auto"/>
                <w:sz w:val="21"/>
                <w:szCs w:val="21"/>
                <w:highlight w:val="none"/>
              </w:rPr>
              <w:t>参数要求得</w:t>
            </w:r>
            <w:r>
              <w:rPr>
                <w:rFonts w:hint="eastAsia" w:ascii="宋体" w:hAnsi="宋体" w:eastAsia="宋体" w:cs="宋体"/>
                <w:color w:val="auto"/>
                <w:sz w:val="21"/>
                <w:szCs w:val="21"/>
                <w:highlight w:val="none"/>
                <w:lang w:val="en-US" w:eastAsia="zh-CN"/>
              </w:rPr>
              <w:t>25.2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p w14:paraId="26727D0F">
            <w:pPr>
              <w:keepNext w:val="0"/>
              <w:keepLines w:val="0"/>
              <w:pageBreakBefore w:val="0"/>
              <w:widowControl/>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加</w:t>
            </w:r>
            <w:bookmarkStart w:id="280" w:name="_GoBack"/>
            <w:bookmarkEnd w:id="280"/>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项参数有一项不满足</w:t>
            </w:r>
            <w:r>
              <w:rPr>
                <w:rFonts w:hint="eastAsia" w:ascii="宋体" w:hAnsi="宋体" w:eastAsia="宋体" w:cs="宋体"/>
                <w:color w:val="auto"/>
                <w:sz w:val="21"/>
                <w:szCs w:val="21"/>
                <w:highlight w:val="none"/>
                <w:lang w:val="en-US" w:eastAsia="zh-CN"/>
              </w:rPr>
              <w:t>招标技术参数</w:t>
            </w:r>
            <w:r>
              <w:rPr>
                <w:rFonts w:hint="eastAsia" w:ascii="宋体" w:hAnsi="宋体" w:eastAsia="宋体" w:cs="宋体"/>
                <w:color w:val="auto"/>
                <w:sz w:val="21"/>
                <w:szCs w:val="21"/>
                <w:highlight w:val="none"/>
              </w:rPr>
              <w:t>扣</w:t>
            </w:r>
            <w:r>
              <w:rPr>
                <w:rFonts w:hint="eastAsia" w:ascii="宋体" w:hAnsi="宋体" w:eastAsia="宋体" w:cs="宋体"/>
                <w:color w:val="auto"/>
                <w:sz w:val="21"/>
                <w:szCs w:val="21"/>
                <w:highlight w:val="none"/>
                <w:lang w:val="en-US" w:eastAsia="zh-CN"/>
              </w:rPr>
              <w:t>0.8分，</w:t>
            </w:r>
            <w:r>
              <w:rPr>
                <w:rFonts w:hint="eastAsia" w:ascii="宋体" w:hAnsi="宋体" w:eastAsia="宋体" w:cs="宋体"/>
                <w:color w:val="auto"/>
                <w:sz w:val="21"/>
                <w:szCs w:val="21"/>
                <w:highlight w:val="none"/>
              </w:rPr>
              <w:t>完全满足招标</w:t>
            </w:r>
            <w:r>
              <w:rPr>
                <w:rFonts w:hint="eastAsia" w:ascii="宋体" w:hAnsi="宋体" w:eastAsia="宋体" w:cs="宋体"/>
                <w:color w:val="auto"/>
                <w:sz w:val="21"/>
                <w:szCs w:val="21"/>
                <w:highlight w:val="none"/>
                <w:lang w:eastAsia="zh-CN"/>
              </w:rPr>
              <w:t>技术</w:t>
            </w:r>
            <w:r>
              <w:rPr>
                <w:rFonts w:hint="eastAsia" w:ascii="宋体" w:hAnsi="宋体" w:eastAsia="宋体" w:cs="宋体"/>
                <w:color w:val="auto"/>
                <w:sz w:val="21"/>
                <w:szCs w:val="21"/>
                <w:highlight w:val="none"/>
              </w:rPr>
              <w:t>参数要求得</w:t>
            </w:r>
            <w:r>
              <w:rPr>
                <w:rFonts w:hint="eastAsia" w:ascii="宋体" w:hAnsi="宋体" w:eastAsia="宋体" w:cs="宋体"/>
                <w:color w:val="auto"/>
                <w:sz w:val="21"/>
                <w:szCs w:val="21"/>
                <w:highlight w:val="none"/>
                <w:lang w:val="en-US" w:eastAsia="zh-CN"/>
              </w:rPr>
              <w:t>4.8分。</w:t>
            </w:r>
          </w:p>
          <w:p w14:paraId="2AB78DBA">
            <w:pPr>
              <w:keepNext w:val="0"/>
              <w:keepLines w:val="0"/>
              <w:pageBreakBefore w:val="0"/>
              <w:widowControl/>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其它参数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不包含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负偏离（1-5）项得4.8分，负偏离（6-10）项得3.6分，负偏离（11-15）项2.4分，负偏离（16-20）项得1.2分，负偏离21项及以上的不得分</w:t>
            </w:r>
            <w:r>
              <w:rPr>
                <w:rFonts w:hint="eastAsia" w:ascii="宋体" w:hAnsi="宋体" w:eastAsia="宋体" w:cs="宋体"/>
                <w:color w:val="auto"/>
                <w:sz w:val="21"/>
                <w:szCs w:val="21"/>
                <w:highlight w:val="none"/>
              </w:rPr>
              <w:t>，完全满足招标</w:t>
            </w:r>
            <w:r>
              <w:rPr>
                <w:rFonts w:hint="eastAsia" w:ascii="宋体" w:hAnsi="宋体" w:eastAsia="宋体" w:cs="宋体"/>
                <w:color w:val="auto"/>
                <w:sz w:val="21"/>
                <w:szCs w:val="21"/>
                <w:highlight w:val="none"/>
                <w:lang w:eastAsia="zh-CN"/>
              </w:rPr>
              <w:t>技术</w:t>
            </w:r>
            <w:r>
              <w:rPr>
                <w:rFonts w:hint="eastAsia" w:ascii="宋体" w:hAnsi="宋体" w:eastAsia="宋体" w:cs="宋体"/>
                <w:color w:val="auto"/>
                <w:sz w:val="21"/>
                <w:szCs w:val="21"/>
                <w:highlight w:val="none"/>
              </w:rPr>
              <w:t>参数要求得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p w14:paraId="3D10878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技术参数不得虚假响应，如经查实，将予以取消中标资格，</w:t>
            </w:r>
            <w:r>
              <w:rPr>
                <w:rFonts w:hint="eastAsia" w:ascii="宋体" w:hAnsi="宋体" w:eastAsia="宋体" w:cs="宋体"/>
                <w:b/>
                <w:bCs/>
                <w:color w:val="auto"/>
                <w:sz w:val="21"/>
                <w:szCs w:val="21"/>
                <w:highlight w:val="none"/>
                <w:lang w:bidi="ar"/>
              </w:rPr>
              <w:t>并提交财政监管部门处理，有可能面临着被列入失信名单的法律风险。</w:t>
            </w:r>
          </w:p>
        </w:tc>
      </w:tr>
      <w:tr w14:paraId="38C72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jc w:val="center"/>
        </w:trPr>
        <w:tc>
          <w:tcPr>
            <w:tcW w:w="562" w:type="pct"/>
            <w:noWrap w:val="0"/>
            <w:vAlign w:val="center"/>
          </w:tcPr>
          <w:p w14:paraId="46DBCD46">
            <w:pPr>
              <w:pStyle w:val="33"/>
              <w:keepNext w:val="0"/>
              <w:keepLines w:val="0"/>
              <w:pageBreakBefore w:val="0"/>
              <w:kinsoku/>
              <w:wordWrap/>
              <w:overflowPunct/>
              <w:topLinePunct w:val="0"/>
              <w:autoSpaceDE/>
              <w:autoSpaceDN/>
              <w:bidi w:val="0"/>
              <w:adjustRightInd/>
              <w:snapToGrid/>
              <w:spacing w:after="0" w:line="440" w:lineRule="exact"/>
              <w:ind w:firstLine="0"/>
              <w:jc w:val="center"/>
              <w:textAlignment w:val="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实施方案</w:t>
            </w:r>
          </w:p>
          <w:p w14:paraId="2585E555">
            <w:pPr>
              <w:pStyle w:val="33"/>
              <w:keepNext w:val="0"/>
              <w:keepLines w:val="0"/>
              <w:pageBreakBefore w:val="0"/>
              <w:kinsoku/>
              <w:wordWrap/>
              <w:overflowPunct/>
              <w:topLinePunct w:val="0"/>
              <w:autoSpaceDE/>
              <w:autoSpaceDN/>
              <w:bidi w:val="0"/>
              <w:adjustRightInd/>
              <w:snapToGrid/>
              <w:spacing w:after="0" w:line="440" w:lineRule="exact"/>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lang w:val="en-US" w:eastAsia="zh-CN" w:bidi="ar"/>
              </w:rPr>
              <w:t>11</w:t>
            </w:r>
            <w:r>
              <w:rPr>
                <w:rFonts w:hint="eastAsia" w:ascii="宋体" w:hAnsi="宋体" w:eastAsia="宋体" w:cs="宋体"/>
                <w:color w:val="auto"/>
                <w:sz w:val="21"/>
                <w:szCs w:val="21"/>
                <w:highlight w:val="none"/>
                <w:lang w:bidi="ar"/>
              </w:rPr>
              <w:t>分）</w:t>
            </w:r>
          </w:p>
        </w:tc>
        <w:tc>
          <w:tcPr>
            <w:tcW w:w="492" w:type="pct"/>
            <w:noWrap w:val="0"/>
            <w:vAlign w:val="center"/>
          </w:tcPr>
          <w:p w14:paraId="2E17656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11</w:t>
            </w:r>
            <w:r>
              <w:rPr>
                <w:rFonts w:hint="eastAsia" w:ascii="宋体" w:hAnsi="宋体" w:eastAsia="宋体" w:cs="宋体"/>
                <w:color w:val="auto"/>
                <w:sz w:val="21"/>
                <w:szCs w:val="21"/>
                <w:highlight w:val="none"/>
                <w:lang w:bidi="ar"/>
              </w:rPr>
              <w:t>分</w:t>
            </w:r>
          </w:p>
        </w:tc>
        <w:tc>
          <w:tcPr>
            <w:tcW w:w="3944" w:type="pct"/>
            <w:noWrap w:val="0"/>
            <w:vAlign w:val="center"/>
          </w:tcPr>
          <w:p w14:paraId="3C27626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根据投标人技术实施方案的科学、技术可行、思路清晰、目标明确、措施到位、针对性强、安装、培训、调试等方面进行评审打分。</w:t>
            </w:r>
          </w:p>
          <w:p w14:paraId="5FB4F2B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（1）根据投标人提供的供货、实施进度、安装、调试、验收的方案和措施的科学有效程度进行评审。方案和措施不少于5条的得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分；方案和措施3-4条的得</w:t>
            </w:r>
            <w:r>
              <w:rPr>
                <w:rFonts w:hint="eastAsia" w:ascii="宋体" w:hAnsi="宋体" w:eastAsia="宋体" w:cs="宋体"/>
                <w:color w:val="auto"/>
                <w:sz w:val="21"/>
                <w:szCs w:val="21"/>
                <w:highlight w:val="none"/>
                <w:lang w:val="en-US" w:eastAsia="zh-CN"/>
              </w:rPr>
              <w:t>0.7</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内容完整、方案和措施1-2条的得0.</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方案内容有明显重大缺陷的或未提供本项内容的不得分。</w:t>
            </w:r>
          </w:p>
          <w:p w14:paraId="209CDE4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（2）根据安装、调试及培训方案；方案和措施不少于5条的得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分；方案和措施3-4条的得</w:t>
            </w:r>
            <w:r>
              <w:rPr>
                <w:rFonts w:hint="eastAsia" w:ascii="宋体" w:hAnsi="宋体" w:eastAsia="宋体" w:cs="宋体"/>
                <w:color w:val="auto"/>
                <w:sz w:val="21"/>
                <w:szCs w:val="21"/>
                <w:highlight w:val="none"/>
                <w:lang w:val="en-US" w:eastAsia="zh-CN"/>
              </w:rPr>
              <w:t>0.7</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内容完整、方案和措施1-2条的得0.</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方案内容有明显重大缺陷的或未提供本项内容的不得分。</w:t>
            </w:r>
          </w:p>
          <w:p w14:paraId="6B939327">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（3）质量保证措施及安全文明施工措施；方案和措施不少于5条的得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分；方案和措施3-4条的得</w:t>
            </w:r>
            <w:r>
              <w:rPr>
                <w:rFonts w:hint="eastAsia" w:ascii="宋体" w:hAnsi="宋体" w:eastAsia="宋体" w:cs="宋体"/>
                <w:color w:val="auto"/>
                <w:sz w:val="21"/>
                <w:szCs w:val="21"/>
                <w:highlight w:val="none"/>
                <w:lang w:val="en-US" w:eastAsia="zh-CN"/>
              </w:rPr>
              <w:t>0.7</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内容完整、方案和措施1-2条的得0.</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方案内容有明显重大缺陷的或未提供本项内容的不得分。</w:t>
            </w:r>
          </w:p>
          <w:p w14:paraId="5EEADD6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（4）根据招标文件要求，投标人自行组织人员现场勘察，</w:t>
            </w:r>
            <w:r>
              <w:rPr>
                <w:rFonts w:hint="eastAsia" w:ascii="宋体" w:hAnsi="宋体" w:eastAsia="宋体" w:cs="宋体"/>
                <w:color w:val="auto"/>
                <w:sz w:val="21"/>
                <w:szCs w:val="21"/>
                <w:highlight w:val="none"/>
                <w:lang w:val="en-US" w:eastAsia="zh-CN"/>
              </w:rPr>
              <w:t>在招标文件清单中自行选择点位，针对电子警察违法抓拍、新建红绿灯各提供一张</w:t>
            </w:r>
            <w:r>
              <w:rPr>
                <w:rFonts w:hint="eastAsia" w:ascii="宋体" w:hAnsi="宋体" w:eastAsia="宋体" w:cs="宋体"/>
                <w:color w:val="auto"/>
                <w:sz w:val="21"/>
                <w:szCs w:val="21"/>
                <w:highlight w:val="none"/>
              </w:rPr>
              <w:t>完整深化设计图纸（要求至少包含经纬度采集、现场照片、设备清单、布点位置、杆件选型、设备安装位置、供电、联网等详细内容）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每提供一种完整深化设计图纸得2分，满分4分。</w:t>
            </w:r>
          </w:p>
          <w:p w14:paraId="2FE5C83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）投标时</w:t>
            </w:r>
            <w:r>
              <w:rPr>
                <w:rFonts w:hint="eastAsia" w:ascii="宋体" w:hAnsi="宋体" w:eastAsia="宋体" w:cs="宋体"/>
                <w:color w:val="auto"/>
                <w:sz w:val="21"/>
                <w:szCs w:val="21"/>
                <w:highlight w:val="none"/>
                <w:lang w:val="en-US" w:eastAsia="zh-CN"/>
              </w:rPr>
              <w:t>需</w:t>
            </w:r>
            <w:r>
              <w:rPr>
                <w:rFonts w:hint="eastAsia" w:ascii="宋体" w:hAnsi="宋体" w:eastAsia="宋体" w:cs="宋体"/>
                <w:color w:val="auto"/>
                <w:sz w:val="21"/>
                <w:szCs w:val="21"/>
                <w:highlight w:val="none"/>
              </w:rPr>
              <w:t>提供功能演示视频（</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分） </w:t>
            </w:r>
          </w:p>
          <w:p w14:paraId="1411DA0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为确保本次采购的电子警察相机抓拍、卡口相机抓拍等设备满足对（牵引货车、半挂货车等车长超过9.6米以上的货车）车头车牌和车尾车牌不一致、闯红灯等违法行为抓拍形成完整记录，投标人需在大丰（G204-S351）点位，搭建测试环境，投标时提供模拟的半挂大货车闯红灯违法抓拍完整系统功能的视频演示（视频包含至少1张抓拍闯红灯违法行为的“六合一”合成图片并且能在大丰公安视频图像综合应用平台查询该违法图片），满足上述要求的得4分，不满足不得分。</w:t>
            </w:r>
          </w:p>
          <w:p w14:paraId="45796E8E">
            <w:pPr>
              <w:pStyle w:val="15"/>
              <w:keepNext w:val="0"/>
              <w:keepLines w:val="0"/>
              <w:pageBreakBefore w:val="0"/>
              <w:widowControl w:val="0"/>
              <w:kinsoku/>
              <w:wordWrap/>
              <w:overflowPunct/>
              <w:topLinePunct w:val="0"/>
              <w:autoSpaceDE/>
              <w:autoSpaceDN/>
              <w:bidi w:val="0"/>
              <w:adjustRightInd/>
              <w:snapToGrid/>
              <w:spacing w:line="440" w:lineRule="exact"/>
              <w:ind w:left="0" w:right="34"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注：投标人按评标办法要求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p>
        </w:tc>
      </w:tr>
      <w:tr w14:paraId="0A816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562" w:type="pct"/>
            <w:noWrap w:val="0"/>
            <w:vAlign w:val="center"/>
          </w:tcPr>
          <w:p w14:paraId="490B455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综合能力</w:t>
            </w:r>
          </w:p>
          <w:p w14:paraId="42614CB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492" w:type="pct"/>
            <w:noWrap w:val="0"/>
            <w:vAlign w:val="center"/>
          </w:tcPr>
          <w:p w14:paraId="573B493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bidi="ar"/>
              </w:rPr>
              <w:t>分</w:t>
            </w:r>
          </w:p>
        </w:tc>
        <w:tc>
          <w:tcPr>
            <w:tcW w:w="3944" w:type="pct"/>
            <w:noWrap w:val="0"/>
            <w:vAlign w:val="center"/>
          </w:tcPr>
          <w:p w14:paraId="5518D154">
            <w:pPr>
              <w:pStyle w:val="204"/>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1、投标人具有ISO20000信息技术服务管理体系认证证书、ISO27001信息安全管理体系认证，每提供1个得2分，未提供不得分，本项最高得4分，提供的证书必须在有效期范围内，且在全国认证认可信息服务平台查询状态必须是合格状态。</w:t>
            </w:r>
          </w:p>
        </w:tc>
      </w:tr>
      <w:tr w14:paraId="26B91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pct"/>
            <w:noWrap w:val="0"/>
            <w:vAlign w:val="center"/>
          </w:tcPr>
          <w:p w14:paraId="48B21CA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履约能力</w:t>
            </w:r>
          </w:p>
          <w:p w14:paraId="4D51DCC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tc>
        <w:tc>
          <w:tcPr>
            <w:tcW w:w="492" w:type="pct"/>
            <w:noWrap w:val="0"/>
            <w:vAlign w:val="center"/>
          </w:tcPr>
          <w:p w14:paraId="3199103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tc>
        <w:tc>
          <w:tcPr>
            <w:tcW w:w="3944" w:type="pct"/>
            <w:noWrap w:val="0"/>
            <w:vAlign w:val="center"/>
          </w:tcPr>
          <w:p w14:paraId="1F36CBC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1、拟投入本项目项目负责人：具有信息系统项目管理师证书、系统分析师证书、网络工程师证书的，每提供一项得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分，最高得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p w14:paraId="4788AC6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2、拟投入本项目的团队成员（不含项目负责人）具有网络规划设计师证书、系统集成项目管理工程师、低压电工证书的，每提供一个人员证书，得1分，本项最高得3分；同一人员、同专业证书不重复计分。</w:t>
            </w:r>
          </w:p>
          <w:p w14:paraId="2AB3D79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注：投标时以上人员需提供人员证书原件扫描件及投标人与以上人员签订的劳动合同原件扫描件，未按要求提供证明材料的不得分。</w:t>
            </w:r>
          </w:p>
        </w:tc>
      </w:tr>
      <w:tr w14:paraId="21490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pct"/>
            <w:noWrap w:val="0"/>
            <w:vAlign w:val="center"/>
          </w:tcPr>
          <w:p w14:paraId="5764EA9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w:t>
            </w:r>
          </w:p>
          <w:p w14:paraId="2DEF3AD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c>
          <w:tcPr>
            <w:tcW w:w="492" w:type="pct"/>
            <w:noWrap w:val="0"/>
            <w:vAlign w:val="center"/>
          </w:tcPr>
          <w:p w14:paraId="18A1DCD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c>
          <w:tcPr>
            <w:tcW w:w="3944" w:type="pct"/>
            <w:noWrap w:val="0"/>
            <w:vAlign w:val="center"/>
          </w:tcPr>
          <w:p w14:paraId="45D3E247">
            <w:pPr>
              <w:pStyle w:val="204"/>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对投标人提供的售后技术服务方案进行打分，方案须包含但不限于以下内容：</w:t>
            </w:r>
          </w:p>
          <w:p w14:paraId="21ED7F18">
            <w:pPr>
              <w:pStyle w:val="204"/>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1、具体可行的售后服务体系（1分）</w:t>
            </w:r>
          </w:p>
          <w:p w14:paraId="5FE578B1">
            <w:pPr>
              <w:pStyle w:val="204"/>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服务承诺、售后服务内容、质保期内（含设备发生故障后，按照不同故障类型所采取的处置方案）的售后服务方案、履行合同相关专业服务机构及人员配置情况、售后服务响应时间、备品备件方案6个方面全部进行合理叙述承诺的得1分；3-5个方面进行合理叙述承诺的得0.5分；1-2个方面进行合理叙述承诺的得0.2分；方案内容有明显重大缺陷的或未提供的不得分。</w:t>
            </w:r>
          </w:p>
          <w:p w14:paraId="05B3C340">
            <w:pPr>
              <w:pStyle w:val="204"/>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2、出现问题应急方案（1分）</w:t>
            </w:r>
          </w:p>
          <w:p w14:paraId="2482CF3A">
            <w:pPr>
              <w:pStyle w:val="204"/>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应急响应整体架构完整、响应时间合理、人员设备应急响应能力充足应急方案中具有针对本项目的合理化建议大于等于5条的得1分；急响应整体架构完整、响应时间合理、人员设备应急响应能力充足应急方案中具有针对本项目的合理化建议3-4条的得0.5分；急响应整体架构完整、响应时间合理、人员设备应急响应能力充足应急方案中具有针对本项目的合理化建议1-2条的得0.2分；方案内容有明显重大缺陷的或未提供的不得分。</w:t>
            </w:r>
          </w:p>
          <w:p w14:paraId="4DDA5C8C">
            <w:pPr>
              <w:pStyle w:val="204"/>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3、售后技术服务人员配备（3分）</w:t>
            </w:r>
          </w:p>
          <w:p w14:paraId="5CFED5E2">
            <w:pPr>
              <w:pStyle w:val="204"/>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投标人承诺在该项目质保期间至少提供1名专业驻场运维人员，以及1支4人以上的外场维修团队，全权配合招标方负责项目采购设备的日常故障巡检和维护，并承诺日常监控在线率不低于98%，提供上述承诺的得3分，不承诺或部分承诺的不得分。投标时需提供承诺函加盖投标单位公章。</w:t>
            </w:r>
          </w:p>
          <w:p w14:paraId="3A3074A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评委根据方案内容进行评分，未提供或表述内容与本项目无关、套用其它方案、凭空编造、逻辑漏洞、科学原理错误以及不可能实现的夸大情形等不得分。</w:t>
            </w:r>
          </w:p>
        </w:tc>
      </w:tr>
      <w:tr w14:paraId="0ED77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562" w:type="pct"/>
            <w:tcBorders>
              <w:left w:val="single" w:color="auto" w:sz="4" w:space="0"/>
              <w:bottom w:val="single" w:color="auto" w:sz="4" w:space="0"/>
              <w:right w:val="single" w:color="auto" w:sz="4" w:space="0"/>
            </w:tcBorders>
            <w:noWrap w:val="0"/>
            <w:vAlign w:val="center"/>
          </w:tcPr>
          <w:p w14:paraId="7D5F78C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类似业绩（3分）</w:t>
            </w:r>
          </w:p>
        </w:tc>
        <w:tc>
          <w:tcPr>
            <w:tcW w:w="492" w:type="pct"/>
            <w:tcBorders>
              <w:left w:val="single" w:color="auto" w:sz="4" w:space="0"/>
              <w:bottom w:val="single" w:color="auto" w:sz="4" w:space="0"/>
              <w:right w:val="single" w:color="auto" w:sz="4" w:space="0"/>
            </w:tcBorders>
            <w:noWrap w:val="0"/>
            <w:vAlign w:val="center"/>
          </w:tcPr>
          <w:p w14:paraId="574370B8">
            <w:pPr>
              <w:pStyle w:val="204"/>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3分</w:t>
            </w:r>
          </w:p>
        </w:tc>
        <w:tc>
          <w:tcPr>
            <w:tcW w:w="3944" w:type="pct"/>
            <w:tcBorders>
              <w:top w:val="single" w:color="auto" w:sz="4" w:space="0"/>
              <w:left w:val="single" w:color="auto" w:sz="4" w:space="0"/>
              <w:bottom w:val="single" w:color="auto" w:sz="4" w:space="0"/>
              <w:right w:val="single" w:color="auto" w:sz="4" w:space="0"/>
            </w:tcBorders>
            <w:noWrap w:val="0"/>
            <w:vAlign w:val="center"/>
          </w:tcPr>
          <w:p w14:paraId="12E5FE7E">
            <w:pPr>
              <w:pStyle w:val="204"/>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投标人提供2022年1月1日以来类项目业绩合同（以合同签订日期为准），每提供1个得1.5分，最高得3分，未提供的不得分。业绩材料须提供项目合同彩色扫描件上传至投标文件。</w:t>
            </w:r>
          </w:p>
        </w:tc>
      </w:tr>
      <w:tr w14:paraId="532C1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pct"/>
            <w:noWrap w:val="0"/>
            <w:vAlign w:val="center"/>
          </w:tcPr>
          <w:p w14:paraId="062C410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节能环保</w:t>
            </w:r>
            <w:r>
              <w:rPr>
                <w:rFonts w:hint="eastAsia" w:ascii="宋体" w:hAnsi="宋体" w:eastAsia="宋体" w:cs="宋体"/>
                <w:color w:val="auto"/>
                <w:sz w:val="21"/>
                <w:szCs w:val="21"/>
                <w:highlight w:val="none"/>
                <w:lang w:val="en-US" w:eastAsia="zh-CN"/>
              </w:rPr>
              <w:t>（2分）</w:t>
            </w:r>
          </w:p>
        </w:tc>
        <w:tc>
          <w:tcPr>
            <w:tcW w:w="492" w:type="pct"/>
            <w:noWrap w:val="0"/>
            <w:vAlign w:val="center"/>
          </w:tcPr>
          <w:p w14:paraId="218F4EB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2分</w:t>
            </w:r>
          </w:p>
        </w:tc>
        <w:tc>
          <w:tcPr>
            <w:tcW w:w="3944" w:type="pct"/>
            <w:noWrap w:val="0"/>
            <w:vAlign w:val="center"/>
          </w:tcPr>
          <w:p w14:paraId="7AB2E747">
            <w:pPr>
              <w:pStyle w:val="204"/>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p>
          <w:p w14:paraId="0D9E3B42">
            <w:pPr>
              <w:pStyle w:val="204"/>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2.投标产品属于财政部、生态环境部公布的“环境标志产品品目清单”范围内的，投标人提供国家确定的认证机构出具的、处于有效期内的该环保产品认证证书复印件的，有1个得0.5分，最多得1分。</w:t>
            </w:r>
          </w:p>
        </w:tc>
      </w:tr>
    </w:tbl>
    <w:p w14:paraId="3716984F">
      <w:pPr>
        <w:pStyle w:val="205"/>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投标人不得提供虚假材料，投标人必须保证全部投标资料的真实性，如有虚假或对招标文件所要求说明的情况故意隐瞒或虚报，将按《中华人民共和国政府采购法》第七十七条“提供虚假材料谋取中标、成交”相关处理办法处理。</w:t>
      </w:r>
    </w:p>
    <w:p w14:paraId="3BF0F6F1">
      <w:pPr>
        <w:pStyle w:val="31"/>
        <w:keepNext/>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46C6763">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p>
    <w:p w14:paraId="4D45131F">
      <w:pPr>
        <w:pStyle w:val="31"/>
        <w:keepNext/>
        <w:keepLines w:val="0"/>
        <w:pageBreakBefore w:val="0"/>
        <w:widowControl w:val="0"/>
        <w:kinsoku/>
        <w:wordWrap/>
        <w:overflowPunct/>
        <w:topLinePunct w:val="0"/>
        <w:autoSpaceDE/>
        <w:autoSpaceDN/>
        <w:bidi w:val="0"/>
        <w:adjustRightInd/>
        <w:snapToGrid/>
        <w:spacing w:beforeAutospacing="0" w:afterAutospacing="0"/>
        <w:jc w:val="center"/>
        <w:textAlignment w:val="auto"/>
        <w:rPr>
          <w:rFonts w:hint="eastAsia" w:ascii="宋体" w:hAnsi="宋体" w:eastAsia="宋体" w:cs="宋体"/>
          <w:color w:val="auto"/>
          <w:highlight w:val="none"/>
        </w:rPr>
      </w:pPr>
      <w:r>
        <w:rPr>
          <w:rFonts w:hint="eastAsia" w:ascii="宋体" w:hAnsi="宋体" w:eastAsia="宋体" w:cs="宋体"/>
          <w:b/>
          <w:bCs/>
          <w:color w:val="auto"/>
          <w:sz w:val="44"/>
          <w:szCs w:val="44"/>
          <w:highlight w:val="none"/>
        </w:rPr>
        <w:t>第六章 投标文件格式</w:t>
      </w:r>
      <w:r>
        <w:rPr>
          <w:rFonts w:hint="eastAsia" w:ascii="宋体" w:hAnsi="宋体" w:eastAsia="宋体" w:cs="宋体"/>
          <w:color w:val="auto"/>
          <w:sz w:val="44"/>
          <w:szCs w:val="44"/>
          <w:highlight w:val="none"/>
        </w:rPr>
        <w:t xml:space="preserve"> </w:t>
      </w:r>
    </w:p>
    <w:p w14:paraId="60AC2DB7">
      <w:pPr>
        <w:pStyle w:val="31"/>
        <w:spacing w:beforeAutospacing="0" w:afterAutospacing="0"/>
        <w:jc w:val="center"/>
        <w:rPr>
          <w:rFonts w:hint="eastAsia" w:ascii="宋体" w:hAnsi="宋体" w:eastAsia="宋体" w:cs="宋体"/>
          <w:b/>
          <w:color w:val="auto"/>
          <w:sz w:val="72"/>
          <w:szCs w:val="72"/>
          <w:highlight w:val="none"/>
        </w:rPr>
      </w:pPr>
      <w:bookmarkStart w:id="257" w:name="_Toc120614282"/>
      <w:bookmarkEnd w:id="257"/>
      <w:bookmarkStart w:id="258" w:name="_Toc49090576"/>
      <w:bookmarkEnd w:id="258"/>
      <w:bookmarkStart w:id="259" w:name="_Toc26554094"/>
      <w:bookmarkStart w:id="260" w:name="_Hlt26955039"/>
      <w:bookmarkStart w:id="261" w:name="_Hlt26671244"/>
    </w:p>
    <w:p w14:paraId="1D88C541">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b/>
          <w:color w:val="auto"/>
          <w:sz w:val="72"/>
          <w:szCs w:val="72"/>
          <w:highlight w:val="none"/>
        </w:rPr>
        <w:t>投  标  文  件</w:t>
      </w:r>
    </w:p>
    <w:p w14:paraId="5F674C2A">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765A8FD0">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D579034">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833F426">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BD28EA4">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B097A46">
      <w:pPr>
        <w:pStyle w:val="31"/>
        <w:spacing w:beforeAutospacing="0" w:afterAutospacing="0"/>
        <w:ind w:firstLine="1084"/>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项 目 名 称：</w:t>
      </w:r>
      <w:r>
        <w:rPr>
          <w:rFonts w:hint="eastAsia" w:ascii="宋体" w:hAnsi="宋体" w:eastAsia="宋体" w:cs="宋体"/>
          <w:b/>
          <w:color w:val="auto"/>
          <w:sz w:val="36"/>
          <w:szCs w:val="36"/>
          <w:highlight w:val="none"/>
          <w:u w:val="single"/>
        </w:rPr>
        <w:t>             </w:t>
      </w:r>
    </w:p>
    <w:p w14:paraId="4AEADBF8">
      <w:pPr>
        <w:pStyle w:val="31"/>
        <w:spacing w:beforeAutospacing="0" w:afterAutospacing="0"/>
        <w:ind w:firstLine="1084"/>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项 目 编 号：</w:t>
      </w:r>
      <w:r>
        <w:rPr>
          <w:rFonts w:hint="eastAsia" w:ascii="宋体" w:hAnsi="宋体" w:eastAsia="宋体" w:cs="宋体"/>
          <w:b/>
          <w:color w:val="auto"/>
          <w:sz w:val="36"/>
          <w:szCs w:val="36"/>
          <w:highlight w:val="none"/>
          <w:u w:val="single"/>
        </w:rPr>
        <w:t>             </w:t>
      </w:r>
    </w:p>
    <w:p w14:paraId="2671126B">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（加盖CA电子公章）</w:t>
      </w:r>
    </w:p>
    <w:p w14:paraId="53082EAB">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7C697181">
      <w:pPr>
        <w:pStyle w:val="31"/>
        <w:spacing w:beforeAutospacing="0" w:afterAutospacing="0" w:line="0" w:lineRule="atLeast"/>
        <w:jc w:val="center"/>
        <w:rPr>
          <w:rFonts w:hint="eastAsia" w:ascii="宋体" w:hAnsi="宋体" w:eastAsia="宋体" w:cs="宋体"/>
          <w:color w:val="auto"/>
          <w:highlight w:val="none"/>
        </w:rPr>
      </w:pPr>
    </w:p>
    <w:p w14:paraId="7DE478EC">
      <w:pPr>
        <w:pStyle w:val="31"/>
        <w:spacing w:beforeAutospacing="0" w:afterAutospacing="0" w:line="0" w:lineRule="atLeast"/>
        <w:jc w:val="center"/>
        <w:rPr>
          <w:rFonts w:hint="eastAsia" w:ascii="宋体" w:hAnsi="宋体" w:eastAsia="宋体" w:cs="宋体"/>
          <w:color w:val="auto"/>
          <w:highlight w:val="none"/>
        </w:rPr>
      </w:pPr>
    </w:p>
    <w:p w14:paraId="54EE5A94">
      <w:pPr>
        <w:pStyle w:val="31"/>
        <w:spacing w:beforeAutospacing="0" w:afterAutospacing="0" w:line="0" w:lineRule="atLeast"/>
        <w:jc w:val="center"/>
        <w:rPr>
          <w:rFonts w:hint="eastAsia" w:ascii="宋体" w:hAnsi="宋体" w:eastAsia="宋体" w:cs="宋体"/>
          <w:color w:val="auto"/>
          <w:highlight w:val="none"/>
        </w:rPr>
      </w:pPr>
    </w:p>
    <w:p w14:paraId="11E46303">
      <w:pPr>
        <w:pStyle w:val="31"/>
        <w:spacing w:beforeAutospacing="0" w:afterAutospacing="0" w:line="0" w:lineRule="atLeast"/>
        <w:jc w:val="center"/>
        <w:rPr>
          <w:rFonts w:hint="eastAsia" w:ascii="宋体" w:hAnsi="宋体" w:eastAsia="宋体" w:cs="宋体"/>
          <w:color w:val="auto"/>
          <w:highlight w:val="none"/>
        </w:rPr>
      </w:pPr>
    </w:p>
    <w:p w14:paraId="3658598A">
      <w:pPr>
        <w:pStyle w:val="31"/>
        <w:spacing w:beforeAutospacing="0" w:afterAutospacing="0" w:line="0" w:lineRule="atLeast"/>
        <w:jc w:val="center"/>
        <w:rPr>
          <w:rFonts w:hint="eastAsia" w:ascii="宋体" w:hAnsi="宋体" w:eastAsia="宋体" w:cs="宋体"/>
          <w:color w:val="auto"/>
          <w:highlight w:val="none"/>
        </w:rPr>
      </w:pPr>
    </w:p>
    <w:p w14:paraId="14522651">
      <w:pPr>
        <w:pStyle w:val="31"/>
        <w:spacing w:beforeAutospacing="0" w:afterAutospacing="0" w:line="0" w:lineRule="atLeast"/>
        <w:jc w:val="center"/>
        <w:rPr>
          <w:rFonts w:hint="eastAsia" w:ascii="宋体" w:hAnsi="宋体" w:eastAsia="宋体" w:cs="宋体"/>
          <w:color w:val="auto"/>
          <w:highlight w:val="none"/>
        </w:rPr>
      </w:pPr>
    </w:p>
    <w:p w14:paraId="57732435">
      <w:pPr>
        <w:pStyle w:val="31"/>
        <w:spacing w:beforeAutospacing="0" w:afterAutospacing="0" w:line="0" w:lineRule="atLeast"/>
        <w:jc w:val="center"/>
        <w:rPr>
          <w:rFonts w:hint="eastAsia" w:ascii="宋体" w:hAnsi="宋体" w:eastAsia="宋体" w:cs="宋体"/>
          <w:color w:val="auto"/>
          <w:highlight w:val="none"/>
        </w:rPr>
      </w:pPr>
    </w:p>
    <w:p w14:paraId="4A2FA449">
      <w:pPr>
        <w:pStyle w:val="31"/>
        <w:spacing w:beforeAutospacing="0" w:afterAutospacing="0" w:line="0" w:lineRule="atLeast"/>
        <w:jc w:val="center"/>
        <w:rPr>
          <w:rFonts w:hint="eastAsia" w:ascii="宋体" w:hAnsi="宋体" w:eastAsia="宋体" w:cs="宋体"/>
          <w:color w:val="auto"/>
          <w:highlight w:val="none"/>
        </w:rPr>
      </w:pPr>
    </w:p>
    <w:p w14:paraId="6073515C">
      <w:pPr>
        <w:pStyle w:val="31"/>
        <w:spacing w:beforeAutospacing="0" w:afterAutospacing="0" w:line="0" w:lineRule="atLeast"/>
        <w:jc w:val="center"/>
        <w:rPr>
          <w:rFonts w:hint="eastAsia" w:ascii="宋体" w:hAnsi="宋体" w:eastAsia="宋体" w:cs="宋体"/>
          <w:color w:val="auto"/>
          <w:highlight w:val="none"/>
        </w:rPr>
      </w:pPr>
    </w:p>
    <w:p w14:paraId="167CED28">
      <w:pPr>
        <w:pStyle w:val="31"/>
        <w:spacing w:beforeAutospacing="0" w:afterAutospacing="0" w:line="0" w:lineRule="atLeast"/>
        <w:jc w:val="center"/>
        <w:rPr>
          <w:rFonts w:hint="eastAsia" w:ascii="宋体" w:hAnsi="宋体" w:eastAsia="宋体" w:cs="宋体"/>
          <w:color w:val="auto"/>
          <w:highlight w:val="none"/>
        </w:rPr>
      </w:pPr>
    </w:p>
    <w:p w14:paraId="0B5F40FC">
      <w:pPr>
        <w:pStyle w:val="31"/>
        <w:spacing w:beforeAutospacing="0" w:afterAutospacing="0" w:line="0" w:lineRule="atLeast"/>
        <w:jc w:val="center"/>
        <w:rPr>
          <w:rFonts w:hint="eastAsia" w:ascii="宋体" w:hAnsi="宋体" w:eastAsia="宋体" w:cs="宋体"/>
          <w:color w:val="auto"/>
          <w:highlight w:val="none"/>
        </w:rPr>
      </w:pPr>
    </w:p>
    <w:p w14:paraId="7C0E4436">
      <w:pPr>
        <w:pStyle w:val="31"/>
        <w:spacing w:beforeAutospacing="0" w:afterAutospacing="0" w:line="0" w:lineRule="atLeast"/>
        <w:jc w:val="center"/>
        <w:rPr>
          <w:rFonts w:hint="eastAsia" w:ascii="宋体" w:hAnsi="宋体" w:eastAsia="宋体" w:cs="宋体"/>
          <w:color w:val="auto"/>
          <w:highlight w:val="none"/>
        </w:rPr>
      </w:pPr>
    </w:p>
    <w:p w14:paraId="1ED842EB">
      <w:pPr>
        <w:pStyle w:val="31"/>
        <w:spacing w:beforeAutospacing="0" w:afterAutospacing="0" w:line="0" w:lineRule="atLeast"/>
        <w:jc w:val="center"/>
        <w:rPr>
          <w:rFonts w:hint="eastAsia" w:ascii="宋体" w:hAnsi="宋体" w:eastAsia="宋体" w:cs="宋体"/>
          <w:color w:val="auto"/>
          <w:highlight w:val="none"/>
        </w:rPr>
      </w:pPr>
    </w:p>
    <w:p w14:paraId="72DDEAD0">
      <w:pPr>
        <w:pStyle w:val="31"/>
        <w:spacing w:beforeAutospacing="0" w:afterAutospacing="0" w:line="0" w:lineRule="atLeast"/>
        <w:jc w:val="center"/>
        <w:rPr>
          <w:rFonts w:hint="eastAsia" w:ascii="宋体" w:hAnsi="宋体" w:eastAsia="宋体" w:cs="宋体"/>
          <w:color w:val="auto"/>
          <w:highlight w:val="none"/>
        </w:rPr>
      </w:pPr>
    </w:p>
    <w:p w14:paraId="5F39AA78">
      <w:pPr>
        <w:pStyle w:val="31"/>
        <w:spacing w:beforeAutospacing="0" w:afterAutospacing="0" w:line="0" w:lineRule="atLeast"/>
        <w:jc w:val="center"/>
        <w:rPr>
          <w:rFonts w:hint="eastAsia" w:ascii="宋体" w:hAnsi="宋体" w:eastAsia="宋体" w:cs="宋体"/>
          <w:color w:val="auto"/>
          <w:highlight w:val="none"/>
        </w:rPr>
      </w:pPr>
    </w:p>
    <w:p w14:paraId="556F2EED">
      <w:pPr>
        <w:pStyle w:val="31"/>
        <w:spacing w:beforeAutospacing="0" w:afterAutospacing="0" w:line="0" w:lineRule="atLeast"/>
        <w:jc w:val="center"/>
        <w:rPr>
          <w:rFonts w:hint="eastAsia" w:ascii="宋体" w:hAnsi="宋体" w:eastAsia="宋体" w:cs="宋体"/>
          <w:color w:val="auto"/>
          <w:highlight w:val="none"/>
        </w:rPr>
      </w:pPr>
    </w:p>
    <w:p w14:paraId="3129C917">
      <w:pPr>
        <w:pStyle w:val="31"/>
        <w:spacing w:beforeAutospacing="0" w:afterAutospacing="0" w:line="0" w:lineRule="atLeast"/>
        <w:jc w:val="center"/>
        <w:rPr>
          <w:rFonts w:hint="eastAsia" w:ascii="宋体" w:hAnsi="宋体" w:eastAsia="宋体" w:cs="宋体"/>
          <w:color w:val="auto"/>
          <w:highlight w:val="none"/>
        </w:rPr>
      </w:pPr>
    </w:p>
    <w:p w14:paraId="5840FD31">
      <w:pPr>
        <w:pStyle w:val="31"/>
        <w:spacing w:beforeAutospacing="0" w:afterAutospacing="0" w:line="0" w:lineRule="atLeast"/>
        <w:jc w:val="center"/>
        <w:rPr>
          <w:rFonts w:hint="eastAsia" w:ascii="宋体" w:hAnsi="宋体" w:eastAsia="宋体" w:cs="宋体"/>
          <w:color w:val="auto"/>
          <w:highlight w:val="none"/>
        </w:rPr>
      </w:pPr>
    </w:p>
    <w:p w14:paraId="76F827B5">
      <w:pPr>
        <w:pStyle w:val="31"/>
        <w:spacing w:beforeAutospacing="0" w:afterAutospacing="0" w:line="0" w:lineRule="atLeast"/>
        <w:jc w:val="center"/>
        <w:rPr>
          <w:rFonts w:hint="eastAsia" w:ascii="宋体" w:hAnsi="宋体" w:eastAsia="宋体" w:cs="宋体"/>
          <w:color w:val="auto"/>
          <w:highlight w:val="none"/>
        </w:rPr>
      </w:pPr>
    </w:p>
    <w:p w14:paraId="35C2B2EA">
      <w:pPr>
        <w:pStyle w:val="31"/>
        <w:spacing w:beforeAutospacing="0" w:afterAutospacing="0" w:line="0" w:lineRule="atLeast"/>
        <w:jc w:val="center"/>
        <w:rPr>
          <w:rFonts w:hint="eastAsia" w:ascii="宋体" w:hAnsi="宋体" w:eastAsia="宋体" w:cs="宋体"/>
          <w:color w:val="auto"/>
          <w:highlight w:val="none"/>
        </w:rPr>
      </w:pPr>
    </w:p>
    <w:p w14:paraId="3B9984A7">
      <w:pPr>
        <w:pStyle w:val="31"/>
        <w:spacing w:beforeAutospacing="0" w:afterAutospacing="0" w:line="0" w:lineRule="atLeast"/>
        <w:jc w:val="center"/>
        <w:rPr>
          <w:rFonts w:hint="eastAsia" w:ascii="宋体" w:hAnsi="宋体" w:eastAsia="宋体" w:cs="宋体"/>
          <w:color w:val="auto"/>
          <w:highlight w:val="none"/>
        </w:rPr>
      </w:pPr>
    </w:p>
    <w:p w14:paraId="3BAB4CD6">
      <w:pPr>
        <w:pStyle w:val="31"/>
        <w:spacing w:beforeAutospacing="0" w:afterAutospacing="0" w:line="0" w:lineRule="atLeast"/>
        <w:jc w:val="center"/>
        <w:rPr>
          <w:rFonts w:hint="eastAsia" w:ascii="宋体" w:hAnsi="宋体" w:eastAsia="宋体" w:cs="宋体"/>
          <w:color w:val="auto"/>
          <w:highlight w:val="none"/>
        </w:rPr>
      </w:pPr>
    </w:p>
    <w:p w14:paraId="5FBCA795">
      <w:pPr>
        <w:pStyle w:val="31"/>
        <w:spacing w:beforeAutospacing="0" w:afterAutospacing="0" w:line="0" w:lineRule="atLeast"/>
        <w:jc w:val="center"/>
        <w:rPr>
          <w:rFonts w:hint="eastAsia" w:ascii="宋体" w:hAnsi="宋体" w:eastAsia="宋体" w:cs="宋体"/>
          <w:color w:val="auto"/>
          <w:highlight w:val="none"/>
        </w:rPr>
      </w:pPr>
    </w:p>
    <w:p w14:paraId="056F3294">
      <w:pPr>
        <w:pStyle w:val="31"/>
        <w:spacing w:beforeAutospacing="0" w:afterAutospacing="0" w:line="0" w:lineRule="atLeast"/>
        <w:jc w:val="center"/>
        <w:rPr>
          <w:rFonts w:hint="eastAsia" w:ascii="宋体" w:hAnsi="宋体" w:eastAsia="宋体" w:cs="宋体"/>
          <w:color w:val="auto"/>
          <w:highlight w:val="none"/>
        </w:rPr>
      </w:pPr>
    </w:p>
    <w:p w14:paraId="55A4EE93">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D7A73DE">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E38B957">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14C75A04">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投标文件目录</w:t>
      </w:r>
    </w:p>
    <w:p w14:paraId="34908355">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B61F5D9">
      <w:pPr>
        <w:pStyle w:val="31"/>
        <w:keepNext w:val="0"/>
        <w:keepLines w:val="0"/>
        <w:pageBreakBefore w:val="0"/>
        <w:kinsoku/>
        <w:wordWrap/>
        <w:overflowPunct/>
        <w:topLinePunct w:val="0"/>
        <w:autoSpaceDE/>
        <w:autoSpaceDN/>
        <w:bidi w:val="0"/>
        <w:adjustRightInd/>
        <w:snapToGrid/>
        <w:spacing w:beforeAutospacing="0" w:afterAutospacing="0" w:line="440" w:lineRule="exact"/>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一、法人或者其他组织的营业执照等证明文件，自然人的身份证明</w:t>
      </w:r>
    </w:p>
    <w:p w14:paraId="46091DB7">
      <w:pPr>
        <w:pStyle w:val="31"/>
        <w:keepNext w:val="0"/>
        <w:keepLines w:val="0"/>
        <w:pageBreakBefore w:val="0"/>
        <w:kinsoku/>
        <w:wordWrap/>
        <w:overflowPunct/>
        <w:topLinePunct w:val="0"/>
        <w:autoSpaceDE/>
        <w:autoSpaceDN/>
        <w:bidi w:val="0"/>
        <w:adjustRightInd/>
        <w:snapToGrid/>
        <w:spacing w:beforeAutospacing="0" w:afterAutospacing="0" w:line="440" w:lineRule="exact"/>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二、上一年度的财务状况报表（至少提供资产负债表、利润表、现金流量表，</w:t>
      </w:r>
      <w:r>
        <w:rPr>
          <w:rFonts w:hint="eastAsia" w:ascii="宋体" w:hAnsi="宋体" w:eastAsia="宋体" w:cs="宋体"/>
          <w:i w:val="0"/>
          <w:iCs/>
          <w:color w:val="auto"/>
          <w:highlight w:val="none"/>
          <w:u w:val="none"/>
        </w:rPr>
        <w:t>投标人成立不满一年无需提供）</w:t>
      </w:r>
    </w:p>
    <w:p w14:paraId="0F02E2F0">
      <w:pPr>
        <w:pStyle w:val="31"/>
        <w:keepNext w:val="0"/>
        <w:keepLines w:val="0"/>
        <w:pageBreakBefore w:val="0"/>
        <w:kinsoku/>
        <w:wordWrap/>
        <w:overflowPunct/>
        <w:topLinePunct w:val="0"/>
        <w:autoSpaceDE/>
        <w:autoSpaceDN/>
        <w:bidi w:val="0"/>
        <w:adjustRightInd/>
        <w:snapToGrid/>
        <w:spacing w:beforeAutospacing="0" w:afterAutospacing="0" w:line="440" w:lineRule="exact"/>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三</w:t>
      </w:r>
      <w:r>
        <w:rPr>
          <w:rFonts w:hint="eastAsia" w:ascii="宋体" w:hAnsi="宋体" w:eastAsia="宋体" w:cs="宋体"/>
          <w:i w:val="0"/>
          <w:iCs/>
          <w:color w:val="auto"/>
          <w:highlight w:val="none"/>
          <w:u w:val="none"/>
        </w:rPr>
        <w:t>、具备履行合同所必需的设备和专业技术能力的书面声明</w:t>
      </w:r>
    </w:p>
    <w:p w14:paraId="159D2A7B">
      <w:pPr>
        <w:pStyle w:val="31"/>
        <w:keepNext w:val="0"/>
        <w:keepLines w:val="0"/>
        <w:pageBreakBefore w:val="0"/>
        <w:kinsoku/>
        <w:wordWrap/>
        <w:overflowPunct/>
        <w:topLinePunct w:val="0"/>
        <w:autoSpaceDE/>
        <w:autoSpaceDN/>
        <w:bidi w:val="0"/>
        <w:adjustRightInd/>
        <w:snapToGrid/>
        <w:spacing w:beforeAutospacing="0" w:afterAutospacing="0" w:line="440" w:lineRule="exact"/>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四</w:t>
      </w:r>
      <w:r>
        <w:rPr>
          <w:rFonts w:hint="eastAsia" w:ascii="宋体" w:hAnsi="宋体" w:eastAsia="宋体" w:cs="宋体"/>
          <w:i w:val="0"/>
          <w:iCs/>
          <w:color w:val="auto"/>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30009F02">
      <w:pPr>
        <w:pStyle w:val="31"/>
        <w:keepNext w:val="0"/>
        <w:keepLines w:val="0"/>
        <w:pageBreakBefore w:val="0"/>
        <w:kinsoku/>
        <w:wordWrap/>
        <w:overflowPunct/>
        <w:topLinePunct w:val="0"/>
        <w:autoSpaceDE/>
        <w:autoSpaceDN/>
        <w:bidi w:val="0"/>
        <w:adjustRightInd/>
        <w:snapToGrid/>
        <w:spacing w:beforeAutospacing="0" w:afterAutospacing="0" w:line="440" w:lineRule="exact"/>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五、参加政府采购活动前 3 年内在经营活动中没有重大违法记录的书面声明</w:t>
      </w:r>
    </w:p>
    <w:p w14:paraId="2BE07827">
      <w:pPr>
        <w:pStyle w:val="31"/>
        <w:keepNext w:val="0"/>
        <w:keepLines w:val="0"/>
        <w:pageBreakBefore w:val="0"/>
        <w:kinsoku/>
        <w:wordWrap/>
        <w:overflowPunct/>
        <w:topLinePunct w:val="0"/>
        <w:autoSpaceDE/>
        <w:autoSpaceDN/>
        <w:bidi w:val="0"/>
        <w:adjustRightInd/>
        <w:snapToGrid/>
        <w:spacing w:beforeAutospacing="0" w:afterAutospacing="0" w:line="440" w:lineRule="exact"/>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六、特定资格要求的证明文件（如果本项目设置特定资格要求，则需要提供）</w:t>
      </w:r>
    </w:p>
    <w:p w14:paraId="2521C271">
      <w:pPr>
        <w:pStyle w:val="31"/>
        <w:keepNext w:val="0"/>
        <w:keepLines w:val="0"/>
        <w:pageBreakBefore w:val="0"/>
        <w:kinsoku/>
        <w:wordWrap/>
        <w:overflowPunct/>
        <w:topLinePunct w:val="0"/>
        <w:autoSpaceDE/>
        <w:autoSpaceDN/>
        <w:bidi w:val="0"/>
        <w:adjustRightInd/>
        <w:snapToGrid/>
        <w:spacing w:beforeAutospacing="0" w:afterAutospacing="0" w:line="440" w:lineRule="exact"/>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七、法人授权书</w:t>
      </w:r>
    </w:p>
    <w:p w14:paraId="4B45B2E6">
      <w:pPr>
        <w:pStyle w:val="31"/>
        <w:keepNext w:val="0"/>
        <w:keepLines w:val="0"/>
        <w:pageBreakBefore w:val="0"/>
        <w:kinsoku/>
        <w:wordWrap/>
        <w:overflowPunct/>
        <w:topLinePunct w:val="0"/>
        <w:autoSpaceDE/>
        <w:autoSpaceDN/>
        <w:bidi w:val="0"/>
        <w:adjustRightInd/>
        <w:snapToGrid/>
        <w:spacing w:beforeAutospacing="0" w:afterAutospacing="0" w:line="440" w:lineRule="exact"/>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八、投标函</w:t>
      </w:r>
    </w:p>
    <w:p w14:paraId="2E0C7D86">
      <w:pPr>
        <w:pStyle w:val="31"/>
        <w:keepNext w:val="0"/>
        <w:keepLines w:val="0"/>
        <w:pageBreakBefore w:val="0"/>
        <w:kinsoku/>
        <w:wordWrap/>
        <w:overflowPunct/>
        <w:topLinePunct w:val="0"/>
        <w:autoSpaceDE/>
        <w:autoSpaceDN/>
        <w:bidi w:val="0"/>
        <w:adjustRightInd/>
        <w:snapToGrid/>
        <w:spacing w:beforeAutospacing="0" w:afterAutospacing="0" w:line="440" w:lineRule="exact"/>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九、小微企业声明函</w:t>
      </w:r>
    </w:p>
    <w:p w14:paraId="16BF3AA7">
      <w:pPr>
        <w:pStyle w:val="31"/>
        <w:keepNext w:val="0"/>
        <w:keepLines w:val="0"/>
        <w:pageBreakBefore w:val="0"/>
        <w:kinsoku/>
        <w:wordWrap/>
        <w:overflowPunct/>
        <w:topLinePunct w:val="0"/>
        <w:autoSpaceDE/>
        <w:autoSpaceDN/>
        <w:bidi w:val="0"/>
        <w:adjustRightInd/>
        <w:snapToGrid/>
        <w:spacing w:beforeAutospacing="0" w:afterAutospacing="0" w:line="440" w:lineRule="exact"/>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十、残疾人福利性单位声明函</w:t>
      </w:r>
    </w:p>
    <w:p w14:paraId="6771B762">
      <w:pPr>
        <w:pStyle w:val="31"/>
        <w:keepNext w:val="0"/>
        <w:keepLines w:val="0"/>
        <w:pageBreakBefore w:val="0"/>
        <w:kinsoku/>
        <w:wordWrap/>
        <w:overflowPunct/>
        <w:topLinePunct w:val="0"/>
        <w:autoSpaceDE/>
        <w:autoSpaceDN/>
        <w:bidi w:val="0"/>
        <w:adjustRightInd/>
        <w:snapToGrid/>
        <w:spacing w:beforeAutospacing="0" w:afterAutospacing="0" w:line="440" w:lineRule="exact"/>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十一、联合体协议</w:t>
      </w:r>
    </w:p>
    <w:p w14:paraId="528CB7A4">
      <w:pPr>
        <w:pStyle w:val="31"/>
        <w:keepNext w:val="0"/>
        <w:keepLines w:val="0"/>
        <w:pageBreakBefore w:val="0"/>
        <w:kinsoku/>
        <w:wordWrap/>
        <w:overflowPunct/>
        <w:topLinePunct w:val="0"/>
        <w:autoSpaceDE/>
        <w:autoSpaceDN/>
        <w:bidi w:val="0"/>
        <w:adjustRightInd/>
        <w:snapToGrid/>
        <w:spacing w:beforeAutospacing="0" w:afterAutospacing="0" w:line="440" w:lineRule="exact"/>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十二、投标分项报价表</w:t>
      </w:r>
    </w:p>
    <w:p w14:paraId="6FBA4022">
      <w:pPr>
        <w:pStyle w:val="31"/>
        <w:keepNext w:val="0"/>
        <w:keepLines w:val="0"/>
        <w:pageBreakBefore w:val="0"/>
        <w:kinsoku/>
        <w:wordWrap/>
        <w:overflowPunct/>
        <w:topLinePunct w:val="0"/>
        <w:autoSpaceDE/>
        <w:autoSpaceDN/>
        <w:bidi w:val="0"/>
        <w:adjustRightInd/>
        <w:snapToGrid/>
        <w:spacing w:beforeAutospacing="0" w:afterAutospacing="0" w:line="440" w:lineRule="exact"/>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十三、技术要求响应及偏离表</w:t>
      </w:r>
    </w:p>
    <w:p w14:paraId="07EF0201">
      <w:pPr>
        <w:pStyle w:val="31"/>
        <w:keepNext w:val="0"/>
        <w:keepLines w:val="0"/>
        <w:pageBreakBefore w:val="0"/>
        <w:kinsoku/>
        <w:wordWrap/>
        <w:overflowPunct/>
        <w:topLinePunct w:val="0"/>
        <w:autoSpaceDE/>
        <w:autoSpaceDN/>
        <w:bidi w:val="0"/>
        <w:adjustRightInd/>
        <w:snapToGrid/>
        <w:spacing w:beforeAutospacing="0" w:afterAutospacing="0" w:line="440" w:lineRule="exact"/>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十四、商务要求响应及偏离表</w:t>
      </w:r>
    </w:p>
    <w:p w14:paraId="21777CE1">
      <w:pPr>
        <w:pStyle w:val="31"/>
        <w:keepNext w:val="0"/>
        <w:keepLines w:val="0"/>
        <w:pageBreakBefore w:val="0"/>
        <w:kinsoku/>
        <w:wordWrap/>
        <w:overflowPunct/>
        <w:topLinePunct w:val="0"/>
        <w:autoSpaceDE/>
        <w:autoSpaceDN/>
        <w:bidi w:val="0"/>
        <w:adjustRightInd/>
        <w:snapToGrid/>
        <w:spacing w:beforeAutospacing="0" w:afterAutospacing="0" w:line="440" w:lineRule="exact"/>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十五、开标一览表</w:t>
      </w:r>
    </w:p>
    <w:p w14:paraId="373A81BB">
      <w:pPr>
        <w:keepNext w:val="0"/>
        <w:keepLines w:val="0"/>
        <w:pageBreakBefore w:val="0"/>
        <w:widowControl/>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十六、技术方案、服务承诺、培训承诺等</w:t>
      </w:r>
    </w:p>
    <w:p w14:paraId="2823E765">
      <w:pPr>
        <w:pStyle w:val="31"/>
        <w:keepNext w:val="0"/>
        <w:keepLines w:val="0"/>
        <w:pageBreakBefore w:val="0"/>
        <w:kinsoku/>
        <w:wordWrap/>
        <w:overflowPunct/>
        <w:topLinePunct w:val="0"/>
        <w:autoSpaceDE/>
        <w:autoSpaceDN/>
        <w:bidi w:val="0"/>
        <w:adjustRightInd/>
        <w:snapToGrid/>
        <w:spacing w:beforeAutospacing="0" w:afterAutospacing="0" w:line="440" w:lineRule="exact"/>
        <w:ind w:left="0" w:firstLine="480" w:firstLineChars="200"/>
        <w:jc w:val="both"/>
        <w:textAlignment w:val="auto"/>
        <w:rPr>
          <w:rFonts w:hint="eastAsia" w:ascii="宋体" w:hAnsi="宋体" w:eastAsia="宋体" w:cs="宋体"/>
          <w:color w:val="auto"/>
          <w:highlight w:val="none"/>
          <w:lang w:eastAsia="zh-CN"/>
        </w:rPr>
      </w:pPr>
      <w:r>
        <w:rPr>
          <w:rFonts w:hint="eastAsia" w:ascii="宋体" w:hAnsi="宋体" w:eastAsia="宋体" w:cs="宋体"/>
          <w:i w:val="0"/>
          <w:iCs/>
          <w:color w:val="auto"/>
          <w:highlight w:val="none"/>
          <w:u w:val="none"/>
        </w:rPr>
        <w:t>十七、</w:t>
      </w:r>
      <w:r>
        <w:rPr>
          <w:rFonts w:hint="eastAsia" w:ascii="宋体" w:hAnsi="宋体" w:eastAsia="宋体" w:cs="宋体"/>
          <w:i w:val="0"/>
          <w:iCs/>
          <w:color w:val="auto"/>
          <w:highlight w:val="none"/>
          <w:u w:val="none"/>
          <w:lang w:eastAsia="zh-CN"/>
        </w:rPr>
        <w:t>盐城市大丰区政府采购事前信用承诺书</w:t>
      </w:r>
    </w:p>
    <w:p w14:paraId="05797087">
      <w:pPr>
        <w:pStyle w:val="31"/>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BEB002D">
      <w:pPr>
        <w:pStyle w:val="31"/>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395B5D7">
      <w:pPr>
        <w:pStyle w:val="31"/>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B578FE6">
      <w:pPr>
        <w:pStyle w:val="31"/>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627101D">
      <w:pPr>
        <w:pStyle w:val="31"/>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0316048">
      <w:pPr>
        <w:pStyle w:val="31"/>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2353A17">
      <w:pPr>
        <w:pStyle w:val="31"/>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DAEB18B">
      <w:pPr>
        <w:pStyle w:val="31"/>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A743E1A">
      <w:pPr>
        <w:pStyle w:val="31"/>
        <w:spacing w:beforeAutospacing="0" w:afterAutospacing="0" w:line="0" w:lineRule="atLeast"/>
        <w:ind w:firstLine="480"/>
        <w:jc w:val="both"/>
        <w:rPr>
          <w:rFonts w:hint="eastAsia" w:ascii="宋体" w:hAnsi="宋体" w:eastAsia="宋体" w:cs="宋体"/>
          <w:color w:val="auto"/>
          <w:highlight w:val="none"/>
        </w:rPr>
      </w:pPr>
    </w:p>
    <w:p w14:paraId="6F1E706B">
      <w:pPr>
        <w:pStyle w:val="31"/>
        <w:spacing w:beforeAutospacing="0" w:afterAutospacing="0" w:line="0" w:lineRule="atLeast"/>
        <w:ind w:firstLine="480"/>
        <w:jc w:val="both"/>
        <w:rPr>
          <w:rFonts w:hint="eastAsia" w:ascii="宋体" w:hAnsi="宋体" w:eastAsia="宋体" w:cs="宋体"/>
          <w:color w:val="auto"/>
          <w:highlight w:val="none"/>
        </w:rPr>
      </w:pPr>
    </w:p>
    <w:p w14:paraId="0A3F678D">
      <w:pPr>
        <w:pStyle w:val="31"/>
        <w:spacing w:beforeAutospacing="0" w:afterAutospacing="0" w:line="0" w:lineRule="atLeast"/>
        <w:ind w:firstLine="480"/>
        <w:jc w:val="both"/>
        <w:rPr>
          <w:rFonts w:hint="eastAsia" w:ascii="宋体" w:hAnsi="宋体" w:eastAsia="宋体" w:cs="宋体"/>
          <w:color w:val="auto"/>
          <w:highlight w:val="none"/>
        </w:rPr>
      </w:pPr>
    </w:p>
    <w:p w14:paraId="0AF05318">
      <w:pPr>
        <w:pStyle w:val="31"/>
        <w:spacing w:beforeAutospacing="0" w:afterAutospacing="0" w:line="0" w:lineRule="atLeast"/>
        <w:ind w:firstLine="480"/>
        <w:jc w:val="both"/>
        <w:rPr>
          <w:rFonts w:hint="eastAsia" w:ascii="宋体" w:hAnsi="宋体" w:eastAsia="宋体" w:cs="宋体"/>
          <w:color w:val="auto"/>
          <w:highlight w:val="none"/>
        </w:rPr>
      </w:pPr>
    </w:p>
    <w:p w14:paraId="07E617BB">
      <w:pPr>
        <w:pStyle w:val="31"/>
        <w:spacing w:beforeAutospacing="0" w:afterAutospacing="0" w:line="0" w:lineRule="atLeast"/>
        <w:ind w:firstLine="480"/>
        <w:jc w:val="both"/>
        <w:rPr>
          <w:rFonts w:hint="eastAsia" w:ascii="宋体" w:hAnsi="宋体" w:eastAsia="宋体" w:cs="宋体"/>
          <w:color w:val="auto"/>
          <w:highlight w:val="none"/>
        </w:rPr>
      </w:pPr>
    </w:p>
    <w:p w14:paraId="79163CC1">
      <w:pPr>
        <w:pStyle w:val="31"/>
        <w:spacing w:beforeAutospacing="0" w:afterAutospacing="0" w:line="0" w:lineRule="atLeast"/>
        <w:ind w:firstLine="480"/>
        <w:jc w:val="both"/>
        <w:rPr>
          <w:rFonts w:hint="eastAsia" w:ascii="宋体" w:hAnsi="宋体" w:eastAsia="宋体" w:cs="宋体"/>
          <w:color w:val="auto"/>
          <w:highlight w:val="none"/>
        </w:rPr>
      </w:pPr>
    </w:p>
    <w:p w14:paraId="333ECD0D">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both"/>
        <w:textAlignment w:val="auto"/>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rPr>
        <w:t>一、法人或者其他组织的营业执照等证明文件，自然人的身份证明</w:t>
      </w:r>
    </w:p>
    <w:p w14:paraId="0BBBC9CF">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both"/>
        <w:textAlignment w:val="auto"/>
        <w:rPr>
          <w:rFonts w:hint="eastAsia" w:ascii="宋体" w:hAnsi="宋体" w:eastAsia="宋体" w:cs="宋体"/>
          <w:color w:val="auto"/>
          <w:highlight w:val="none"/>
        </w:rPr>
      </w:pPr>
    </w:p>
    <w:p w14:paraId="044F0541">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both"/>
        <w:textAlignment w:val="auto"/>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rPr>
        <w:t>二、上一年度的财务状况报表</w:t>
      </w:r>
    </w:p>
    <w:p w14:paraId="779BF434">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（至少提供资产负债表、利润表、现金流量表，投标人成立不满一年无需提供）</w:t>
      </w:r>
    </w:p>
    <w:p w14:paraId="52BB0AC8">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both"/>
        <w:textAlignment w:val="auto"/>
        <w:rPr>
          <w:rFonts w:hint="eastAsia" w:ascii="宋体" w:hAnsi="宋体" w:eastAsia="宋体" w:cs="宋体"/>
          <w:color w:val="auto"/>
          <w:highlight w:val="none"/>
        </w:rPr>
      </w:pPr>
    </w:p>
    <w:p w14:paraId="50DB1BC2">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both"/>
        <w:textAlignment w:val="auto"/>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lang w:val="en-US" w:eastAsia="zh-CN"/>
        </w:rPr>
        <w:t>三</w:t>
      </w:r>
      <w:r>
        <w:rPr>
          <w:rFonts w:hint="eastAsia" w:ascii="宋体" w:hAnsi="宋体" w:eastAsia="宋体" w:cs="宋体"/>
          <w:b/>
          <w:bCs/>
          <w:i/>
          <w:color w:val="auto"/>
          <w:sz w:val="32"/>
          <w:szCs w:val="32"/>
          <w:highlight w:val="none"/>
          <w:u w:val="single"/>
        </w:rPr>
        <w:t>、具备履行合同所必需的设备和专业技术能力的书面声明</w:t>
      </w:r>
    </w:p>
    <w:p w14:paraId="16D0583A">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2F92707E">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2EB3A966">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253595B9">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both"/>
        <w:textAlignment w:val="auto"/>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lang w:val="en-US" w:eastAsia="zh-CN"/>
        </w:rPr>
        <w:t>四</w:t>
      </w:r>
      <w:r>
        <w:rPr>
          <w:rFonts w:hint="eastAsia" w:ascii="宋体" w:hAnsi="宋体" w:eastAsia="宋体" w:cs="宋体"/>
          <w:b/>
          <w:bCs/>
          <w:i/>
          <w:color w:val="auto"/>
          <w:sz w:val="32"/>
          <w:szCs w:val="32"/>
          <w:highlight w:val="none"/>
          <w:u w:val="single"/>
        </w:rPr>
        <w:t>、依法缴纳税收和社会保障资金的相关材料</w:t>
      </w:r>
    </w:p>
    <w:p w14:paraId="7E9820E9">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p>
    <w:p w14:paraId="77C5F134">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 </w:t>
      </w:r>
    </w:p>
    <w:p w14:paraId="47796D27">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jc w:val="both"/>
        <w:textAlignment w:val="auto"/>
        <w:rPr>
          <w:rFonts w:hint="eastAsia" w:ascii="宋体" w:hAnsi="宋体" w:eastAsia="宋体" w:cs="宋体"/>
          <w:b/>
          <w:color w:val="auto"/>
          <w:sz w:val="44"/>
          <w:szCs w:val="44"/>
          <w:highlight w:val="none"/>
        </w:rPr>
      </w:pPr>
      <w:r>
        <w:rPr>
          <w:rFonts w:hint="eastAsia" w:ascii="宋体" w:hAnsi="宋体" w:eastAsia="宋体" w:cs="宋体"/>
          <w:b/>
          <w:bCs/>
          <w:i/>
          <w:color w:val="auto"/>
          <w:sz w:val="32"/>
          <w:szCs w:val="32"/>
          <w:highlight w:val="none"/>
          <w:u w:val="single"/>
        </w:rPr>
        <w:t>五、参加政府采购活动前 3 年内在经营活动中没有重大违法记录的书面声明</w:t>
      </w:r>
    </w:p>
    <w:p w14:paraId="0020486E">
      <w:pPr>
        <w:pStyle w:val="31"/>
        <w:spacing w:beforeAutospacing="0" w:afterAutospacing="0" w:line="0" w:lineRule="atLeast"/>
        <w:ind w:firstLine="3092"/>
        <w:jc w:val="both"/>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 声  明</w:t>
      </w:r>
    </w:p>
    <w:p w14:paraId="27CA99B1">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3428894B">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E04758F">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rPr>
        <w:t>六、特定资格要求的证明文件</w:t>
      </w:r>
    </w:p>
    <w:p w14:paraId="67427B1B">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72A08381">
      <w:pPr>
        <w:pStyle w:val="31"/>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如果本项目申请人的特定资格要求中要求提供的，必须提供。</w:t>
      </w:r>
    </w:p>
    <w:p w14:paraId="635773D2">
      <w:pPr>
        <w:pStyle w:val="31"/>
        <w:spacing w:beforeAutospacing="0" w:afterAutospacing="0"/>
        <w:jc w:val="center"/>
        <w:rPr>
          <w:rFonts w:hint="eastAsia" w:ascii="宋体" w:hAnsi="宋体" w:eastAsia="宋体" w:cs="宋体"/>
          <w:i/>
          <w:color w:val="auto"/>
          <w:sz w:val="32"/>
          <w:szCs w:val="32"/>
          <w:highlight w:val="none"/>
          <w:u w:val="single"/>
        </w:rPr>
      </w:pPr>
      <w:bookmarkStart w:id="262" w:name="_Toc120614284"/>
    </w:p>
    <w:p w14:paraId="00F09C20">
      <w:pPr>
        <w:pStyle w:val="31"/>
        <w:spacing w:beforeAutospacing="0" w:afterAutospacing="0"/>
        <w:jc w:val="center"/>
        <w:rPr>
          <w:rFonts w:hint="eastAsia" w:ascii="宋体" w:hAnsi="宋体" w:eastAsia="宋体" w:cs="宋体"/>
          <w:i/>
          <w:color w:val="auto"/>
          <w:sz w:val="32"/>
          <w:szCs w:val="32"/>
          <w:highlight w:val="none"/>
          <w:u w:val="single"/>
        </w:rPr>
      </w:pPr>
    </w:p>
    <w:p w14:paraId="60840AE6">
      <w:pPr>
        <w:pStyle w:val="31"/>
        <w:spacing w:beforeAutospacing="0" w:afterAutospacing="0"/>
        <w:jc w:val="center"/>
        <w:rPr>
          <w:rFonts w:hint="eastAsia" w:ascii="宋体" w:hAnsi="宋体" w:eastAsia="宋体" w:cs="宋体"/>
          <w:i/>
          <w:color w:val="auto"/>
          <w:sz w:val="32"/>
          <w:szCs w:val="32"/>
          <w:highlight w:val="none"/>
          <w:u w:val="single"/>
        </w:rPr>
      </w:pPr>
    </w:p>
    <w:p w14:paraId="1A39DFCB">
      <w:pPr>
        <w:pStyle w:val="31"/>
        <w:spacing w:beforeAutospacing="0" w:afterAutospacing="0"/>
        <w:jc w:val="center"/>
        <w:rPr>
          <w:rFonts w:hint="eastAsia" w:ascii="宋体" w:hAnsi="宋体" w:eastAsia="宋体" w:cs="宋体"/>
          <w:i/>
          <w:color w:val="auto"/>
          <w:sz w:val="32"/>
          <w:szCs w:val="32"/>
          <w:highlight w:val="none"/>
          <w:u w:val="single"/>
        </w:rPr>
      </w:pPr>
    </w:p>
    <w:p w14:paraId="37974331">
      <w:pPr>
        <w:pStyle w:val="31"/>
        <w:spacing w:beforeAutospacing="0" w:afterAutospacing="0"/>
        <w:jc w:val="center"/>
        <w:rPr>
          <w:rFonts w:hint="eastAsia" w:ascii="宋体" w:hAnsi="宋体" w:eastAsia="宋体" w:cs="宋体"/>
          <w:i/>
          <w:color w:val="auto"/>
          <w:sz w:val="32"/>
          <w:szCs w:val="32"/>
          <w:highlight w:val="none"/>
          <w:u w:val="single"/>
        </w:rPr>
      </w:pPr>
    </w:p>
    <w:p w14:paraId="3B5B16C0">
      <w:pPr>
        <w:pStyle w:val="31"/>
        <w:spacing w:beforeAutospacing="0" w:afterAutospacing="0"/>
        <w:jc w:val="center"/>
        <w:rPr>
          <w:rFonts w:hint="eastAsia" w:ascii="宋体" w:hAnsi="宋体" w:eastAsia="宋体" w:cs="宋体"/>
          <w:i/>
          <w:color w:val="auto"/>
          <w:sz w:val="32"/>
          <w:szCs w:val="32"/>
          <w:highlight w:val="none"/>
          <w:u w:val="single"/>
        </w:rPr>
      </w:pPr>
    </w:p>
    <w:p w14:paraId="3A21F46E">
      <w:pPr>
        <w:pStyle w:val="31"/>
        <w:spacing w:beforeAutospacing="0" w:afterAutospacing="0"/>
        <w:jc w:val="center"/>
        <w:rPr>
          <w:rFonts w:hint="eastAsia" w:ascii="宋体" w:hAnsi="宋体" w:eastAsia="宋体" w:cs="宋体"/>
          <w:i/>
          <w:color w:val="auto"/>
          <w:sz w:val="32"/>
          <w:szCs w:val="32"/>
          <w:highlight w:val="none"/>
          <w:u w:val="single"/>
        </w:rPr>
      </w:pPr>
    </w:p>
    <w:p w14:paraId="544211B4">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rPr>
        <w:t>七、法人授权书</w:t>
      </w:r>
    </w:p>
    <w:p w14:paraId="426A0F32">
      <w:pPr>
        <w:pStyle w:val="31"/>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本授权书声明：____________（投标人名称）授权________________（被授权人的姓名）为我方就JSZC-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号项目采购活动的合法代理人，以本单位名义全权处理一切与该项目采购有关的事务。</w:t>
      </w:r>
    </w:p>
    <w:p w14:paraId="5CE0392C">
      <w:pPr>
        <w:pStyle w:val="31"/>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本授权书于______年____月____日起生效，特此声明。</w:t>
      </w:r>
    </w:p>
    <w:p w14:paraId="5C342934">
      <w:pPr>
        <w:pStyle w:val="31"/>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被授权人身份证号码：</w:t>
      </w:r>
      <w:r>
        <w:rPr>
          <w:rFonts w:hint="eastAsia" w:ascii="宋体" w:hAnsi="宋体" w:eastAsia="宋体" w:cs="宋体"/>
          <w:color w:val="auto"/>
          <w:highlight w:val="none"/>
          <w:u w:val="single"/>
        </w:rPr>
        <w:t>                      </w:t>
      </w:r>
    </w:p>
    <w:p w14:paraId="4A5AFE97">
      <w:pPr>
        <w:pStyle w:val="31"/>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被授权人联系电话：（手机）</w:t>
      </w:r>
      <w:r>
        <w:rPr>
          <w:rFonts w:hint="eastAsia" w:ascii="宋体" w:hAnsi="宋体" w:eastAsia="宋体" w:cs="宋体"/>
          <w:color w:val="auto"/>
          <w:highlight w:val="none"/>
          <w:u w:val="single"/>
        </w:rPr>
        <w:t>                   </w:t>
      </w:r>
    </w:p>
    <w:p w14:paraId="631A3B8F">
      <w:pPr>
        <w:pStyle w:val="31"/>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授权单位名称：</w:t>
      </w:r>
      <w:r>
        <w:rPr>
          <w:rFonts w:hint="eastAsia" w:ascii="宋体" w:hAnsi="宋体" w:eastAsia="宋体" w:cs="宋体"/>
          <w:color w:val="auto"/>
          <w:highlight w:val="none"/>
          <w:u w:val="single"/>
        </w:rPr>
        <w:t>（加盖CA电子公章）</w:t>
      </w:r>
    </w:p>
    <w:p w14:paraId="7A71B53A">
      <w:pPr>
        <w:pStyle w:val="31"/>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单位地址：</w:t>
      </w:r>
      <w:r>
        <w:rPr>
          <w:rFonts w:hint="eastAsia" w:ascii="宋体" w:hAnsi="宋体" w:eastAsia="宋体" w:cs="宋体"/>
          <w:color w:val="auto"/>
          <w:highlight w:val="none"/>
          <w:u w:val="single"/>
        </w:rPr>
        <w:t xml:space="preserve">                  </w:t>
      </w:r>
    </w:p>
    <w:p w14:paraId="718FB56A">
      <w:pPr>
        <w:pStyle w:val="31"/>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日期：</w:t>
      </w:r>
      <w:bookmarkStart w:id="263" w:name="_Hlt26671380"/>
      <w:bookmarkStart w:id="264" w:name="_格式3__银行出具的资信证明"/>
      <w:bookmarkStart w:id="265" w:name="_Hlt26955070"/>
      <w:r>
        <w:rPr>
          <w:rFonts w:hint="eastAsia" w:ascii="宋体" w:hAnsi="宋体" w:eastAsia="宋体" w:cs="宋体"/>
          <w:color w:val="auto"/>
          <w:highlight w:val="none"/>
          <w:u w:val="single"/>
        </w:rPr>
        <w:t>            </w:t>
      </w:r>
    </w:p>
    <w:p w14:paraId="74FC0440">
      <w:pPr>
        <w:pStyle w:val="31"/>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D986444">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7B42164">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1C04597">
      <w:pPr>
        <w:pStyle w:val="31"/>
        <w:keepNext/>
        <w:keepLines/>
        <w:spacing w:before="260" w:beforeAutospacing="0" w:after="260" w:afterAutospacing="0" w:line="415" w:lineRule="auto"/>
        <w:ind w:firstLine="3390"/>
        <w:jc w:val="both"/>
        <w:rPr>
          <w:rFonts w:hint="eastAsia" w:ascii="宋体" w:hAnsi="宋体" w:eastAsia="宋体" w:cs="宋体"/>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i/>
          <w:color w:val="auto"/>
          <w:sz w:val="32"/>
          <w:szCs w:val="32"/>
          <w:highlight w:val="none"/>
          <w:u w:val="single"/>
        </w:rPr>
        <w:t>八、投标函</w:t>
      </w:r>
    </w:p>
    <w:p w14:paraId="7E73A8D4">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致：盐城市大丰区公共资源交易中心</w:t>
      </w:r>
    </w:p>
    <w:p w14:paraId="5E9AE2B3">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号招标文件，正式授权下述签字人_________________(姓名)代表我方______________（投标人的名称），全权处理本次项目投标的有关事宜。</w:t>
      </w:r>
    </w:p>
    <w:p w14:paraId="12A3DFD9">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据此函，__________签字人兹宣布同意如下：</w:t>
      </w:r>
    </w:p>
    <w:p w14:paraId="48E260AB">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1.按招标文件规定的各项要求，向买方提供所需货物（包含与货物相关的服务）。</w:t>
      </w:r>
    </w:p>
    <w:p w14:paraId="069BA427">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2.我们完全理解贵方不一定将合同授予最低报价的投标人。</w:t>
      </w:r>
    </w:p>
    <w:p w14:paraId="0F581FE4">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22E7A515">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309266FC">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1AFF7802">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558AC7B9">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7.与本投标有关的正式通讯地址为：</w:t>
      </w:r>
    </w:p>
    <w:p w14:paraId="743FC961">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20"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地          址：</w:t>
      </w:r>
    </w:p>
    <w:p w14:paraId="5D11F7C7">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20"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邮          编：</w:t>
      </w:r>
    </w:p>
    <w:p w14:paraId="26502496">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20"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电          话：</w:t>
      </w:r>
    </w:p>
    <w:p w14:paraId="2A41A152">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20"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传          真：</w:t>
      </w:r>
    </w:p>
    <w:p w14:paraId="5F121D7C">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20"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投标人开户行：</w:t>
      </w:r>
    </w:p>
    <w:p w14:paraId="604899EA">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20"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p>
    <w:p w14:paraId="7CBA5370">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20"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日           期：________年____月____日</w:t>
      </w:r>
    </w:p>
    <w:p w14:paraId="07F2A79C">
      <w:pPr>
        <w:pStyle w:val="31"/>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44F7A59">
      <w:pPr>
        <w:pStyle w:val="31"/>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76553D9">
      <w:pPr>
        <w:pStyle w:val="31"/>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C686BC2">
      <w:pPr>
        <w:pStyle w:val="31"/>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B4A2B5A">
      <w:pPr>
        <w:pStyle w:val="31"/>
        <w:spacing w:beforeAutospacing="0" w:afterAutospacing="0" w:line="0" w:lineRule="atLeast"/>
        <w:ind w:firstLine="240"/>
        <w:jc w:val="center"/>
        <w:rPr>
          <w:rFonts w:hint="eastAsia" w:ascii="宋体" w:hAnsi="宋体" w:eastAsia="宋体" w:cs="宋体"/>
          <w:color w:val="auto"/>
          <w:highlight w:val="none"/>
        </w:rPr>
      </w:pPr>
    </w:p>
    <w:p w14:paraId="3BB732C2">
      <w:pPr>
        <w:pStyle w:val="31"/>
        <w:spacing w:beforeAutospacing="0" w:afterAutospacing="0" w:line="0" w:lineRule="atLeast"/>
        <w:ind w:firstLine="240"/>
        <w:jc w:val="center"/>
        <w:rPr>
          <w:rFonts w:hint="eastAsia" w:ascii="宋体" w:hAnsi="宋体" w:eastAsia="宋体" w:cs="宋体"/>
          <w:color w:val="auto"/>
          <w:highlight w:val="none"/>
        </w:rPr>
      </w:pPr>
    </w:p>
    <w:p w14:paraId="53BB03FC">
      <w:pPr>
        <w:pStyle w:val="31"/>
        <w:spacing w:beforeAutospacing="0" w:afterAutospacing="0" w:line="0" w:lineRule="atLeast"/>
        <w:ind w:firstLine="240"/>
        <w:jc w:val="center"/>
        <w:rPr>
          <w:rFonts w:hint="eastAsia" w:ascii="宋体" w:hAnsi="宋体" w:eastAsia="宋体" w:cs="宋体"/>
          <w:color w:val="auto"/>
          <w:highlight w:val="none"/>
        </w:rPr>
      </w:pPr>
    </w:p>
    <w:p w14:paraId="133A58F5">
      <w:pPr>
        <w:pStyle w:val="31"/>
        <w:spacing w:beforeAutospacing="0" w:afterAutospacing="0" w:line="0" w:lineRule="atLeast"/>
        <w:ind w:firstLine="240"/>
        <w:jc w:val="center"/>
        <w:rPr>
          <w:rFonts w:hint="eastAsia" w:ascii="宋体" w:hAnsi="宋体" w:eastAsia="宋体" w:cs="宋体"/>
          <w:color w:val="auto"/>
          <w:highlight w:val="none"/>
        </w:rPr>
      </w:pPr>
    </w:p>
    <w:p w14:paraId="44608E69">
      <w:pPr>
        <w:pStyle w:val="31"/>
        <w:spacing w:beforeAutospacing="0" w:afterAutospacing="0" w:line="0" w:lineRule="atLeast"/>
        <w:ind w:firstLine="321"/>
        <w:jc w:val="center"/>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九、小微企业声明函（货物）</w:t>
      </w:r>
      <w:r>
        <w:rPr>
          <w:rFonts w:hint="eastAsia" w:ascii="宋体" w:hAnsi="宋体" w:eastAsia="宋体" w:cs="宋体"/>
          <w:b/>
          <w:color w:val="auto"/>
          <w:sz w:val="32"/>
          <w:szCs w:val="32"/>
          <w:highlight w:val="none"/>
          <w:lang w:eastAsia="zh-CN"/>
        </w:rPr>
        <w:t xml:space="preserve"> </w:t>
      </w:r>
    </w:p>
    <w:p w14:paraId="5731531E">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本公司（联合体）郑重声明，根据《政府采购促进中小企业发展管理办法》(财库[2020]46号)的规定，本公司（联合体）参加</w:t>
      </w:r>
      <w:r>
        <w:rPr>
          <w:rFonts w:hint="eastAsia" w:ascii="宋体" w:hAnsi="宋体" w:eastAsia="宋体" w:cs="宋体"/>
          <w:color w:val="auto"/>
          <w:highlight w:val="none"/>
          <w:lang w:eastAsia="zh-CN"/>
        </w:rPr>
        <w:t>盐城市大丰区公共资源交易中心</w:t>
      </w:r>
      <w:r>
        <w:rPr>
          <w:rFonts w:hint="eastAsia" w:ascii="宋体" w:hAnsi="宋体" w:eastAsia="宋体" w:cs="宋体"/>
          <w:color w:val="auto"/>
          <w:highlight w:val="none"/>
        </w:rPr>
        <w:t>组织的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（单位名称）</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采购编号为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（项目名称）</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F992FF8">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行业；制造商为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（小型企业、微型企业）；</w:t>
      </w:r>
    </w:p>
    <w:p w14:paraId="7B8E101C">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行业；制造商为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（小型企业、微型企业）；</w:t>
      </w:r>
    </w:p>
    <w:p w14:paraId="38104973">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w:t>
      </w:r>
    </w:p>
    <w:p w14:paraId="63213920">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7E444C9B">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本企业对上述声明内容的真实性负责。如有虚假，将依法承担相应责任</w:t>
      </w:r>
      <w:r>
        <w:rPr>
          <w:rFonts w:hint="eastAsia" w:ascii="宋体" w:hAnsi="宋体" w:eastAsia="宋体" w:cs="宋体"/>
          <w:color w:val="auto"/>
          <w:highlight w:val="none"/>
          <w:lang w:eastAsia="zh-CN"/>
        </w:rPr>
        <w:t>。</w:t>
      </w:r>
    </w:p>
    <w:p w14:paraId="3CEEFE81">
      <w:pPr>
        <w:pStyle w:val="31"/>
        <w:spacing w:beforeAutospacing="0" w:afterAutospacing="0" w:line="0" w:lineRule="atLeast"/>
        <w:ind w:right="7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CE8A158">
      <w:pPr>
        <w:pStyle w:val="31"/>
        <w:spacing w:beforeAutospacing="0" w:afterAutospacing="0" w:line="0" w:lineRule="atLeast"/>
        <w:ind w:right="180" w:firstLine="360"/>
        <w:jc w:val="center"/>
        <w:rPr>
          <w:rFonts w:hint="eastAsia" w:ascii="宋体" w:hAnsi="宋体" w:eastAsia="宋体" w:cs="宋体"/>
          <w:color w:val="auto"/>
          <w:highlight w:val="none"/>
        </w:rPr>
      </w:pPr>
      <w:r>
        <w:rPr>
          <w:rFonts w:hint="eastAsia" w:ascii="宋体" w:hAnsi="宋体" w:eastAsia="宋体" w:cs="宋体"/>
          <w:color w:val="auto"/>
          <w:highlight w:val="none"/>
        </w:rPr>
        <w:t>企业名称（加盖CA电子公章）：</w:t>
      </w:r>
    </w:p>
    <w:p w14:paraId="4D5E3215">
      <w:pPr>
        <w:pStyle w:val="31"/>
        <w:spacing w:beforeAutospacing="0" w:afterAutospacing="0" w:line="0" w:lineRule="atLeast"/>
        <w:ind w:right="480" w:firstLine="5400"/>
        <w:jc w:val="both"/>
        <w:rPr>
          <w:rFonts w:hint="eastAsia" w:ascii="宋体" w:hAnsi="宋体" w:eastAsia="宋体" w:cs="宋体"/>
          <w:color w:val="auto"/>
          <w:highlight w:val="none"/>
        </w:rPr>
      </w:pPr>
      <w:r>
        <w:rPr>
          <w:rFonts w:hint="eastAsia" w:ascii="宋体" w:hAnsi="宋体" w:eastAsia="宋体" w:cs="宋体"/>
          <w:color w:val="auto"/>
          <w:highlight w:val="none"/>
        </w:rPr>
        <w:t>日  期：</w:t>
      </w:r>
    </w:p>
    <w:p w14:paraId="79CA2951">
      <w:pPr>
        <w:pStyle w:val="31"/>
        <w:spacing w:beforeAutospacing="0" w:afterAutospacing="0" w:line="0" w:lineRule="atLeast"/>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DC88F4E">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515B95A4">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74AD9621">
      <w:pPr>
        <w:pStyle w:val="31"/>
        <w:spacing w:beforeAutospacing="0" w:afterAutospacing="0" w:line="0" w:lineRule="atLeast"/>
        <w:jc w:val="center"/>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十、残疾人福利性单位声明函</w:t>
      </w:r>
      <w:r>
        <w:rPr>
          <w:rFonts w:hint="eastAsia" w:ascii="宋体" w:hAnsi="宋体" w:eastAsia="宋体" w:cs="宋体"/>
          <w:b/>
          <w:color w:val="auto"/>
          <w:sz w:val="32"/>
          <w:szCs w:val="32"/>
          <w:highlight w:val="none"/>
          <w:lang w:eastAsia="zh-CN"/>
        </w:rPr>
        <w:t xml:space="preserve"> </w:t>
      </w:r>
    </w:p>
    <w:p w14:paraId="1FFCD7F0">
      <w:pPr>
        <w:pStyle w:val="31"/>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w:t>
      </w:r>
      <w:r>
        <w:rPr>
          <w:rFonts w:hint="eastAsia" w:ascii="宋体" w:hAnsi="宋体" w:eastAsia="宋体" w:cs="宋体"/>
          <w:color w:val="auto"/>
          <w:highlight w:val="none"/>
          <w:lang w:eastAsia="zh-CN"/>
        </w:rPr>
        <w:t xml:space="preserve"> </w:t>
      </w:r>
      <w:r>
        <w:rPr>
          <w:rFonts w:hint="eastAsia" w:ascii="宋体" w:hAnsi="宋体" w:eastAsia="宋体" w:cs="宋体"/>
          <w:color w:val="auto"/>
          <w:highlight w:val="none"/>
        </w:rPr>
        <w:t>采购活动提供本单位制造的货物，或者提供其他残疾人福利性单位制造的货物（不包括使用非残疾人福利性单位注册商标的货物）。</w:t>
      </w:r>
    </w:p>
    <w:p w14:paraId="194DA416">
      <w:pPr>
        <w:pStyle w:val="31"/>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本单位对上述声明的真实性负责。如有虚假，将依法承担相应责任。</w:t>
      </w:r>
    </w:p>
    <w:p w14:paraId="20CC4D56">
      <w:pPr>
        <w:pStyle w:val="31"/>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EB8BB56">
      <w:pPr>
        <w:pStyle w:val="31"/>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备注：1、供应商如不提供此声明函，价格将不做相应扣除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。2、中标供应商为残疾人福利单位的，此声明函将随中标结果同时公告，接受社会监督</w:t>
      </w:r>
    </w:p>
    <w:p w14:paraId="48A52866">
      <w:pPr>
        <w:pStyle w:val="31"/>
        <w:spacing w:beforeAutospacing="0" w:afterAutospacing="0" w:line="0" w:lineRule="atLeast"/>
        <w:ind w:firstLine="624"/>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2200173">
      <w:pPr>
        <w:pStyle w:val="31"/>
        <w:tabs>
          <w:tab w:val="left" w:pos="4864"/>
        </w:tabs>
        <w:spacing w:beforeAutospacing="0" w:afterAutospacing="0" w:line="0" w:lineRule="atLeast"/>
        <w:ind w:right="1560" w:firstLine="624"/>
        <w:jc w:val="center"/>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供应商全称（加盖CA电子公章）：</w:t>
      </w:r>
    </w:p>
    <w:p w14:paraId="33DEFF62">
      <w:pPr>
        <w:pStyle w:val="31"/>
        <w:tabs>
          <w:tab w:val="left" w:pos="4864"/>
        </w:tabs>
        <w:spacing w:beforeAutospacing="0" w:afterAutospacing="0" w:line="0" w:lineRule="atLeast"/>
        <w:ind w:right="1560"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        日  期：</w:t>
      </w:r>
    </w:p>
    <w:p w14:paraId="1B4EDD8F">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C3AF4BB">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0EF0252">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0CB152C">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28BFBB8">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1AD0D62">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BEDCE94">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0F2930F">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224CDCD">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754FA612">
      <w:pPr>
        <w:pStyle w:val="31"/>
        <w:spacing w:beforeAutospacing="0" w:afterAutospacing="0" w:line="0" w:lineRule="atLeast"/>
        <w:jc w:val="center"/>
        <w:rPr>
          <w:rFonts w:hint="eastAsia" w:ascii="宋体" w:hAnsi="宋体" w:eastAsia="宋体" w:cs="宋体"/>
          <w:color w:val="auto"/>
          <w:highlight w:val="none"/>
        </w:rPr>
      </w:pPr>
    </w:p>
    <w:p w14:paraId="4A72EF27">
      <w:pPr>
        <w:pStyle w:val="31"/>
        <w:spacing w:beforeAutospacing="0" w:afterAutospacing="0" w:line="0" w:lineRule="atLeast"/>
        <w:jc w:val="center"/>
        <w:rPr>
          <w:rFonts w:hint="eastAsia" w:ascii="宋体" w:hAnsi="宋体" w:eastAsia="宋体" w:cs="宋体"/>
          <w:color w:val="auto"/>
          <w:highlight w:val="none"/>
        </w:rPr>
      </w:pPr>
    </w:p>
    <w:p w14:paraId="59A9DBA8">
      <w:pPr>
        <w:pStyle w:val="31"/>
        <w:spacing w:beforeAutospacing="0" w:afterAutospacing="0" w:line="0" w:lineRule="atLeast"/>
        <w:jc w:val="center"/>
        <w:rPr>
          <w:rFonts w:hint="eastAsia" w:ascii="宋体" w:hAnsi="宋体" w:eastAsia="宋体" w:cs="宋体"/>
          <w:color w:val="auto"/>
          <w:highlight w:val="none"/>
        </w:rPr>
      </w:pPr>
    </w:p>
    <w:p w14:paraId="03D1DE09">
      <w:pPr>
        <w:pStyle w:val="31"/>
        <w:spacing w:beforeAutospacing="0" w:afterAutospacing="0" w:line="0" w:lineRule="atLeast"/>
        <w:jc w:val="center"/>
        <w:rPr>
          <w:rFonts w:hint="eastAsia" w:ascii="宋体" w:hAnsi="宋体" w:eastAsia="宋体" w:cs="宋体"/>
          <w:color w:val="auto"/>
          <w:highlight w:val="none"/>
        </w:rPr>
      </w:pPr>
    </w:p>
    <w:p w14:paraId="6E00A481">
      <w:pPr>
        <w:pStyle w:val="31"/>
        <w:spacing w:beforeAutospacing="0" w:afterAutospacing="0" w:line="0" w:lineRule="atLeast"/>
        <w:jc w:val="center"/>
        <w:rPr>
          <w:rFonts w:hint="eastAsia" w:ascii="宋体" w:hAnsi="宋体" w:eastAsia="宋体" w:cs="宋体"/>
          <w:color w:val="auto"/>
          <w:highlight w:val="none"/>
        </w:rPr>
      </w:pPr>
    </w:p>
    <w:p w14:paraId="7CE41A24">
      <w:pPr>
        <w:pStyle w:val="31"/>
        <w:spacing w:beforeAutospacing="0" w:afterAutospacing="0" w:line="0" w:lineRule="atLeast"/>
        <w:jc w:val="center"/>
        <w:rPr>
          <w:rFonts w:hint="eastAsia" w:ascii="宋体" w:hAnsi="宋体" w:eastAsia="宋体" w:cs="宋体"/>
          <w:color w:val="auto"/>
          <w:highlight w:val="none"/>
        </w:rPr>
      </w:pPr>
    </w:p>
    <w:p w14:paraId="794E1A94">
      <w:pPr>
        <w:pStyle w:val="31"/>
        <w:spacing w:beforeAutospacing="0" w:afterAutospacing="0" w:line="0" w:lineRule="atLeast"/>
        <w:jc w:val="center"/>
        <w:rPr>
          <w:rFonts w:hint="eastAsia" w:ascii="宋体" w:hAnsi="宋体" w:eastAsia="宋体" w:cs="宋体"/>
          <w:color w:val="auto"/>
          <w:highlight w:val="none"/>
        </w:rPr>
      </w:pPr>
    </w:p>
    <w:p w14:paraId="01A1FB02">
      <w:pPr>
        <w:pStyle w:val="31"/>
        <w:spacing w:beforeAutospacing="0" w:afterAutospacing="0" w:line="0" w:lineRule="atLeast"/>
        <w:jc w:val="center"/>
        <w:rPr>
          <w:rFonts w:hint="eastAsia" w:ascii="宋体" w:hAnsi="宋体" w:eastAsia="宋体" w:cs="宋体"/>
          <w:color w:val="auto"/>
          <w:highlight w:val="none"/>
        </w:rPr>
      </w:pPr>
    </w:p>
    <w:p w14:paraId="5E2A7FCB">
      <w:pPr>
        <w:pStyle w:val="31"/>
        <w:spacing w:beforeAutospacing="0" w:afterAutospacing="0" w:line="0" w:lineRule="atLeast"/>
        <w:jc w:val="center"/>
        <w:rPr>
          <w:rFonts w:hint="eastAsia" w:ascii="宋体" w:hAnsi="宋体" w:eastAsia="宋体" w:cs="宋体"/>
          <w:color w:val="auto"/>
          <w:highlight w:val="none"/>
        </w:rPr>
      </w:pPr>
    </w:p>
    <w:p w14:paraId="4CB306AA">
      <w:pPr>
        <w:pStyle w:val="31"/>
        <w:spacing w:beforeAutospacing="0" w:afterAutospacing="0" w:line="0" w:lineRule="atLeast"/>
        <w:jc w:val="center"/>
        <w:rPr>
          <w:rFonts w:hint="eastAsia" w:ascii="宋体" w:hAnsi="宋体" w:eastAsia="宋体" w:cs="宋体"/>
          <w:color w:val="auto"/>
          <w:highlight w:val="none"/>
        </w:rPr>
      </w:pPr>
    </w:p>
    <w:p w14:paraId="535ACF6E">
      <w:pPr>
        <w:pStyle w:val="31"/>
        <w:spacing w:beforeAutospacing="0" w:afterAutospacing="0" w:line="0" w:lineRule="atLeast"/>
        <w:jc w:val="center"/>
        <w:rPr>
          <w:rFonts w:hint="eastAsia" w:ascii="宋体" w:hAnsi="宋体" w:eastAsia="宋体" w:cs="宋体"/>
          <w:color w:val="auto"/>
          <w:highlight w:val="none"/>
        </w:rPr>
      </w:pPr>
    </w:p>
    <w:p w14:paraId="6B91DFFD">
      <w:pPr>
        <w:pStyle w:val="31"/>
        <w:spacing w:beforeAutospacing="0" w:afterAutospacing="0" w:line="0" w:lineRule="atLeast"/>
        <w:jc w:val="center"/>
        <w:rPr>
          <w:rFonts w:hint="eastAsia" w:ascii="宋体" w:hAnsi="宋体" w:eastAsia="宋体" w:cs="宋体"/>
          <w:color w:val="auto"/>
          <w:highlight w:val="none"/>
        </w:rPr>
      </w:pPr>
    </w:p>
    <w:p w14:paraId="2700EC03">
      <w:pPr>
        <w:pStyle w:val="31"/>
        <w:spacing w:beforeAutospacing="0" w:afterAutospacing="0" w:line="0" w:lineRule="atLeast"/>
        <w:jc w:val="center"/>
        <w:rPr>
          <w:rFonts w:hint="eastAsia" w:ascii="宋体" w:hAnsi="宋体" w:eastAsia="宋体" w:cs="宋体"/>
          <w:color w:val="auto"/>
          <w:highlight w:val="none"/>
        </w:rPr>
      </w:pPr>
    </w:p>
    <w:p w14:paraId="0DFC01DD">
      <w:pPr>
        <w:pStyle w:val="31"/>
        <w:spacing w:beforeAutospacing="0" w:afterAutospacing="0" w:line="0" w:lineRule="atLeast"/>
        <w:jc w:val="center"/>
        <w:rPr>
          <w:rFonts w:hint="eastAsia" w:ascii="宋体" w:hAnsi="宋体" w:eastAsia="宋体" w:cs="宋体"/>
          <w:color w:val="auto"/>
          <w:highlight w:val="none"/>
        </w:rPr>
      </w:pPr>
    </w:p>
    <w:p w14:paraId="5C620C9D">
      <w:pPr>
        <w:pStyle w:val="31"/>
        <w:spacing w:beforeAutospacing="0" w:afterAutospacing="0" w:line="0" w:lineRule="atLeast"/>
        <w:jc w:val="center"/>
        <w:rPr>
          <w:rFonts w:hint="eastAsia" w:ascii="宋体" w:hAnsi="宋体" w:eastAsia="宋体" w:cs="宋体"/>
          <w:color w:val="auto"/>
          <w:highlight w:val="none"/>
        </w:rPr>
      </w:pPr>
    </w:p>
    <w:p w14:paraId="6C109511">
      <w:pPr>
        <w:pStyle w:val="31"/>
        <w:spacing w:beforeAutospacing="0" w:afterAutospacing="0" w:line="0" w:lineRule="atLeast"/>
        <w:jc w:val="center"/>
        <w:rPr>
          <w:rFonts w:hint="eastAsia" w:ascii="宋体" w:hAnsi="宋体" w:eastAsia="宋体" w:cs="宋体"/>
          <w:color w:val="auto"/>
          <w:highlight w:val="none"/>
        </w:rPr>
      </w:pPr>
    </w:p>
    <w:p w14:paraId="41F3706C">
      <w:pPr>
        <w:pStyle w:val="31"/>
        <w:spacing w:beforeAutospacing="0" w:afterAutospacing="0" w:line="0" w:lineRule="atLeast"/>
        <w:jc w:val="center"/>
        <w:rPr>
          <w:rFonts w:hint="eastAsia" w:ascii="宋体" w:hAnsi="宋体" w:eastAsia="宋体" w:cs="宋体"/>
          <w:color w:val="auto"/>
          <w:highlight w:val="none"/>
        </w:rPr>
      </w:pPr>
    </w:p>
    <w:p w14:paraId="6D6E3D23">
      <w:pPr>
        <w:pStyle w:val="31"/>
        <w:spacing w:beforeAutospacing="0" w:afterAutospacing="0" w:line="0" w:lineRule="atLeast"/>
        <w:jc w:val="center"/>
        <w:rPr>
          <w:rFonts w:hint="eastAsia" w:ascii="宋体" w:hAnsi="宋体" w:eastAsia="宋体" w:cs="宋体"/>
          <w:color w:val="auto"/>
          <w:highlight w:val="none"/>
        </w:rPr>
      </w:pPr>
    </w:p>
    <w:p w14:paraId="5AABFFEA">
      <w:pPr>
        <w:pStyle w:val="31"/>
        <w:spacing w:beforeAutospacing="0" w:afterAutospacing="0" w:line="0" w:lineRule="atLeast"/>
        <w:jc w:val="center"/>
        <w:rPr>
          <w:rFonts w:hint="eastAsia" w:ascii="宋体" w:hAnsi="宋体" w:eastAsia="宋体" w:cs="宋体"/>
          <w:color w:val="auto"/>
          <w:highlight w:val="none"/>
        </w:rPr>
      </w:pPr>
    </w:p>
    <w:p w14:paraId="3AFCEB2A">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86F7086">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7F9F371C">
      <w:pPr>
        <w:pStyle w:val="31"/>
        <w:spacing w:beforeAutospacing="0" w:afterAutospacing="0" w:line="0" w:lineRule="atLeast"/>
        <w:jc w:val="center"/>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十一、联合体协议（参考格式）</w:t>
      </w:r>
      <w:r>
        <w:rPr>
          <w:rFonts w:hint="eastAsia" w:ascii="宋体" w:hAnsi="宋体" w:eastAsia="宋体" w:cs="宋体"/>
          <w:b/>
          <w:color w:val="auto"/>
          <w:sz w:val="32"/>
          <w:szCs w:val="32"/>
          <w:highlight w:val="none"/>
          <w:lang w:eastAsia="zh-CN"/>
        </w:rPr>
        <w:t xml:space="preserve"> </w:t>
      </w:r>
    </w:p>
    <w:p w14:paraId="69DB9333">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（联合体中各供应商全称）在此达成以下协议：</w:t>
      </w:r>
    </w:p>
    <w:p w14:paraId="0101E040">
      <w:pPr>
        <w:pStyle w:val="31"/>
        <w:spacing w:beforeAutospacing="0" w:afterAutospacing="0" w:line="0" w:lineRule="atLeast"/>
        <w:ind w:firstLine="645"/>
        <w:jc w:val="both"/>
        <w:rPr>
          <w:rFonts w:hint="eastAsia" w:ascii="宋体" w:hAnsi="宋体" w:eastAsia="宋体" w:cs="宋体"/>
          <w:color w:val="auto"/>
          <w:highlight w:val="none"/>
        </w:rPr>
      </w:pPr>
      <w:r>
        <w:rPr>
          <w:rFonts w:hint="eastAsia" w:ascii="宋体" w:hAnsi="宋体" w:eastAsia="宋体" w:cs="宋体"/>
          <w:color w:val="auto"/>
          <w:highlight w:val="none"/>
        </w:rPr>
        <w:t>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自愿组成联合体，参加</w:t>
      </w:r>
      <w:r>
        <w:rPr>
          <w:rFonts w:hint="eastAsia" w:ascii="宋体" w:hAnsi="宋体" w:eastAsia="宋体" w:cs="宋体"/>
          <w:color w:val="auto"/>
          <w:highlight w:val="none"/>
          <w:lang w:eastAsia="zh-CN"/>
        </w:rPr>
        <w:t>盐城市大丰区公共资源交易中心</w:t>
      </w:r>
      <w:r>
        <w:rPr>
          <w:rFonts w:hint="eastAsia" w:ascii="宋体" w:hAnsi="宋体" w:eastAsia="宋体" w:cs="宋体"/>
          <w:color w:val="auto"/>
          <w:highlight w:val="none"/>
        </w:rPr>
        <w:t>组织的采购编号为</w:t>
      </w:r>
      <w:r>
        <w:rPr>
          <w:rFonts w:hint="eastAsia" w:ascii="宋体" w:hAnsi="宋体" w:eastAsia="宋体" w:cs="宋体"/>
          <w:color w:val="auto"/>
          <w:highlight w:val="none"/>
          <w:u w:val="single"/>
        </w:rPr>
        <w:t>（编号全称），（项目全称）</w:t>
      </w:r>
      <w:r>
        <w:rPr>
          <w:rFonts w:hint="eastAsia" w:ascii="宋体" w:hAnsi="宋体" w:eastAsia="宋体" w:cs="宋体"/>
          <w:color w:val="auto"/>
          <w:highlight w:val="none"/>
        </w:rPr>
        <w:t>项目</w:t>
      </w:r>
      <w:r>
        <w:rPr>
          <w:rFonts w:hint="eastAsia" w:ascii="宋体" w:hAnsi="宋体" w:eastAsia="宋体" w:cs="宋体"/>
          <w:color w:val="auto"/>
          <w:highlight w:val="none"/>
          <w:lang w:eastAsia="zh-CN"/>
        </w:rPr>
        <w:t xml:space="preserve"> </w:t>
      </w:r>
      <w:r>
        <w:rPr>
          <w:rFonts w:hint="eastAsia" w:ascii="宋体" w:hAnsi="宋体" w:eastAsia="宋体" w:cs="宋体"/>
          <w:color w:val="auto"/>
          <w:highlight w:val="none"/>
        </w:rPr>
        <w:t>的政府采购活动，我联合体指定</w:t>
      </w:r>
      <w:r>
        <w:rPr>
          <w:rFonts w:hint="eastAsia" w:ascii="宋体" w:hAnsi="宋体" w:eastAsia="宋体" w:cs="宋体"/>
          <w:color w:val="auto"/>
          <w:highlight w:val="none"/>
          <w:u w:val="single"/>
        </w:rPr>
        <w:t>（供应商*）</w:t>
      </w:r>
      <w:r>
        <w:rPr>
          <w:rFonts w:hint="eastAsia" w:ascii="宋体" w:hAnsi="宋体" w:eastAsia="宋体" w:cs="宋体"/>
          <w:color w:val="auto"/>
          <w:highlight w:val="none"/>
        </w:rPr>
        <w:t>为牵头单位（牵头单位必须为联合体成员）。</w:t>
      </w:r>
    </w:p>
    <w:p w14:paraId="67A086B5">
      <w:pPr>
        <w:pStyle w:val="31"/>
        <w:spacing w:beforeAutospacing="0" w:afterAutospacing="0" w:line="0" w:lineRule="atLeast"/>
        <w:ind w:firstLine="645"/>
        <w:jc w:val="both"/>
        <w:rPr>
          <w:rFonts w:hint="eastAsia" w:ascii="宋体" w:hAnsi="宋体" w:eastAsia="宋体" w:cs="宋体"/>
          <w:color w:val="auto"/>
          <w:highlight w:val="none"/>
        </w:rPr>
      </w:pPr>
      <w:r>
        <w:rPr>
          <w:rFonts w:hint="eastAsia" w:ascii="宋体" w:hAnsi="宋体" w:eastAsia="宋体" w:cs="宋体"/>
          <w:color w:val="auto"/>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6A1BF02C">
      <w:pPr>
        <w:pStyle w:val="31"/>
        <w:spacing w:beforeAutospacing="0" w:afterAutospacing="0" w:line="0" w:lineRule="atLeast"/>
        <w:ind w:firstLine="645"/>
        <w:jc w:val="both"/>
        <w:rPr>
          <w:rFonts w:hint="eastAsia" w:ascii="宋体" w:hAnsi="宋体" w:eastAsia="宋体" w:cs="宋体"/>
          <w:color w:val="auto"/>
          <w:highlight w:val="none"/>
        </w:rPr>
      </w:pPr>
      <w:r>
        <w:rPr>
          <w:rFonts w:hint="eastAsia" w:ascii="宋体" w:hAnsi="宋体" w:eastAsia="宋体" w:cs="宋体"/>
          <w:color w:val="auto"/>
          <w:highlight w:val="none"/>
        </w:rPr>
        <w:t>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36E3057B">
      <w:pPr>
        <w:pStyle w:val="31"/>
        <w:spacing w:beforeAutospacing="0" w:afterAutospacing="0" w:line="0" w:lineRule="atLeast"/>
        <w:ind w:firstLine="645"/>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5315786">
      <w:pPr>
        <w:pStyle w:val="31"/>
        <w:spacing w:beforeAutospacing="0" w:afterAutospacing="0" w:line="0" w:lineRule="atLeast"/>
        <w:ind w:firstLine="645"/>
        <w:jc w:val="both"/>
        <w:rPr>
          <w:rFonts w:hint="eastAsia" w:ascii="宋体" w:hAnsi="宋体" w:eastAsia="宋体" w:cs="宋体"/>
          <w:color w:val="auto"/>
          <w:highlight w:val="none"/>
        </w:rPr>
      </w:pPr>
      <w:r>
        <w:rPr>
          <w:rFonts w:hint="eastAsia" w:ascii="宋体" w:hAnsi="宋体" w:eastAsia="宋体" w:cs="宋体"/>
          <w:color w:val="auto"/>
          <w:highlight w:val="none"/>
        </w:rPr>
        <w:t>备注：本招标文件中要求加盖CA电子签章的地方，仅需加盖牵头单位的CA电子签章。</w:t>
      </w:r>
    </w:p>
    <w:p w14:paraId="06D8721F">
      <w:pPr>
        <w:pStyle w:val="31"/>
        <w:spacing w:beforeAutospacing="0" w:afterAutospacing="0" w:line="0" w:lineRule="atLeast"/>
        <w:ind w:firstLine="645"/>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6043196A">
      <w:pPr>
        <w:pStyle w:val="31"/>
        <w:spacing w:beforeAutospacing="0" w:afterAutospacing="0" w:line="0" w:lineRule="atLeast"/>
        <w:ind w:firstLine="645"/>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联合体中各供应商全称（公章）：     </w:t>
      </w:r>
    </w:p>
    <w:p w14:paraId="6B334B13">
      <w:pPr>
        <w:pStyle w:val="31"/>
        <w:spacing w:beforeAutospacing="0" w:afterAutospacing="0" w:line="0" w:lineRule="atLeast"/>
        <w:ind w:firstLine="645"/>
        <w:jc w:val="both"/>
        <w:rPr>
          <w:rFonts w:hint="eastAsia" w:ascii="宋体" w:hAnsi="宋体" w:eastAsia="宋体" w:cs="宋体"/>
          <w:color w:val="auto"/>
          <w:highlight w:val="none"/>
        </w:rPr>
      </w:pPr>
      <w:r>
        <w:rPr>
          <w:rFonts w:hint="eastAsia" w:ascii="宋体" w:hAnsi="宋体" w:eastAsia="宋体" w:cs="宋体"/>
          <w:color w:val="auto"/>
          <w:highlight w:val="none"/>
        </w:rPr>
        <w:t>                                        日期：</w:t>
      </w:r>
    </w:p>
    <w:p w14:paraId="55AC6AD3">
      <w:pPr>
        <w:pStyle w:val="31"/>
        <w:spacing w:beforeAutospacing="0" w:afterAutospacing="0" w:line="0" w:lineRule="atLeast"/>
        <w:ind w:firstLine="645"/>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48FA295">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7709DE6">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126E825">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8E012A8">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2FA3227">
      <w:pPr>
        <w:pStyle w:val="31"/>
        <w:spacing w:beforeAutospacing="0" w:afterAutospacing="0" w:line="0" w:lineRule="atLeast"/>
        <w:jc w:val="both"/>
        <w:rPr>
          <w:rFonts w:hint="eastAsia" w:ascii="宋体" w:hAnsi="宋体" w:eastAsia="宋体" w:cs="宋体"/>
          <w:color w:val="auto"/>
          <w:highlight w:val="none"/>
        </w:rPr>
      </w:pPr>
    </w:p>
    <w:p w14:paraId="34270E03">
      <w:pPr>
        <w:pStyle w:val="31"/>
        <w:spacing w:beforeAutospacing="0" w:afterAutospacing="0" w:line="0" w:lineRule="atLeast"/>
        <w:jc w:val="both"/>
        <w:rPr>
          <w:rFonts w:hint="eastAsia" w:ascii="宋体" w:hAnsi="宋体" w:eastAsia="宋体" w:cs="宋体"/>
          <w:color w:val="auto"/>
          <w:highlight w:val="none"/>
        </w:rPr>
      </w:pPr>
    </w:p>
    <w:p w14:paraId="0D231561">
      <w:pPr>
        <w:pStyle w:val="31"/>
        <w:spacing w:beforeAutospacing="0" w:afterAutospacing="0" w:line="0" w:lineRule="atLeast"/>
        <w:jc w:val="both"/>
        <w:rPr>
          <w:rFonts w:hint="eastAsia" w:ascii="宋体" w:hAnsi="宋体" w:eastAsia="宋体" w:cs="宋体"/>
          <w:color w:val="auto"/>
          <w:highlight w:val="none"/>
        </w:rPr>
      </w:pPr>
    </w:p>
    <w:p w14:paraId="6653703B">
      <w:pPr>
        <w:pStyle w:val="31"/>
        <w:spacing w:beforeAutospacing="0" w:afterAutospacing="0" w:line="0" w:lineRule="atLeast"/>
        <w:jc w:val="both"/>
        <w:rPr>
          <w:rFonts w:hint="eastAsia" w:ascii="宋体" w:hAnsi="宋体" w:eastAsia="宋体" w:cs="宋体"/>
          <w:color w:val="auto"/>
          <w:highlight w:val="none"/>
        </w:rPr>
      </w:pPr>
    </w:p>
    <w:p w14:paraId="7A9971C7">
      <w:pPr>
        <w:pStyle w:val="31"/>
        <w:spacing w:beforeAutospacing="0" w:afterAutospacing="0" w:line="0" w:lineRule="atLeast"/>
        <w:jc w:val="both"/>
        <w:rPr>
          <w:rFonts w:hint="eastAsia" w:ascii="宋体" w:hAnsi="宋体" w:eastAsia="宋体" w:cs="宋体"/>
          <w:color w:val="auto"/>
          <w:highlight w:val="none"/>
        </w:rPr>
      </w:pPr>
    </w:p>
    <w:p w14:paraId="6F6FFB79">
      <w:pPr>
        <w:pStyle w:val="31"/>
        <w:spacing w:beforeAutospacing="0" w:afterAutospacing="0" w:line="0" w:lineRule="atLeast"/>
        <w:jc w:val="both"/>
        <w:rPr>
          <w:rFonts w:hint="eastAsia" w:ascii="宋体" w:hAnsi="宋体" w:eastAsia="宋体" w:cs="宋体"/>
          <w:color w:val="auto"/>
          <w:highlight w:val="none"/>
        </w:rPr>
      </w:pPr>
    </w:p>
    <w:p w14:paraId="53AAC940">
      <w:pPr>
        <w:pStyle w:val="31"/>
        <w:spacing w:beforeAutospacing="0" w:afterAutospacing="0" w:line="0" w:lineRule="atLeast"/>
        <w:jc w:val="both"/>
        <w:rPr>
          <w:rFonts w:hint="eastAsia" w:ascii="宋体" w:hAnsi="宋体" w:eastAsia="宋体" w:cs="宋体"/>
          <w:color w:val="auto"/>
          <w:highlight w:val="none"/>
        </w:rPr>
      </w:pPr>
    </w:p>
    <w:p w14:paraId="3D2DEA00">
      <w:pPr>
        <w:pStyle w:val="31"/>
        <w:spacing w:beforeAutospacing="0" w:afterAutospacing="0" w:line="0" w:lineRule="atLeast"/>
        <w:jc w:val="both"/>
        <w:rPr>
          <w:rFonts w:hint="eastAsia" w:ascii="宋体" w:hAnsi="宋体" w:eastAsia="宋体" w:cs="宋体"/>
          <w:color w:val="auto"/>
          <w:highlight w:val="none"/>
        </w:rPr>
      </w:pPr>
    </w:p>
    <w:p w14:paraId="3B0C8BD1">
      <w:pPr>
        <w:pStyle w:val="31"/>
        <w:spacing w:beforeAutospacing="0" w:afterAutospacing="0" w:line="0" w:lineRule="atLeast"/>
        <w:jc w:val="both"/>
        <w:rPr>
          <w:rFonts w:hint="eastAsia" w:ascii="宋体" w:hAnsi="宋体" w:eastAsia="宋体" w:cs="宋体"/>
          <w:color w:val="auto"/>
          <w:highlight w:val="none"/>
        </w:rPr>
      </w:pPr>
    </w:p>
    <w:p w14:paraId="435023E5">
      <w:pPr>
        <w:pStyle w:val="31"/>
        <w:spacing w:beforeAutospacing="0" w:afterAutospacing="0" w:line="0" w:lineRule="atLeast"/>
        <w:jc w:val="both"/>
        <w:rPr>
          <w:rFonts w:hint="eastAsia" w:ascii="宋体" w:hAnsi="宋体" w:eastAsia="宋体" w:cs="宋体"/>
          <w:color w:val="auto"/>
          <w:highlight w:val="none"/>
        </w:rPr>
      </w:pPr>
    </w:p>
    <w:p w14:paraId="17B1C157">
      <w:pPr>
        <w:pStyle w:val="31"/>
        <w:spacing w:beforeAutospacing="0" w:afterAutospacing="0" w:line="0" w:lineRule="atLeast"/>
        <w:jc w:val="both"/>
        <w:rPr>
          <w:rFonts w:hint="eastAsia" w:ascii="宋体" w:hAnsi="宋体" w:eastAsia="宋体" w:cs="宋体"/>
          <w:color w:val="auto"/>
          <w:highlight w:val="none"/>
        </w:rPr>
      </w:pPr>
    </w:p>
    <w:p w14:paraId="06377986">
      <w:pPr>
        <w:pStyle w:val="31"/>
        <w:spacing w:beforeAutospacing="0" w:afterAutospacing="0" w:line="0" w:lineRule="atLeast"/>
        <w:jc w:val="both"/>
        <w:rPr>
          <w:rFonts w:hint="eastAsia" w:ascii="宋体" w:hAnsi="宋体" w:eastAsia="宋体" w:cs="宋体"/>
          <w:color w:val="auto"/>
          <w:highlight w:val="none"/>
        </w:rPr>
      </w:pPr>
    </w:p>
    <w:p w14:paraId="38EFB852">
      <w:pPr>
        <w:pStyle w:val="31"/>
        <w:spacing w:beforeAutospacing="0" w:afterAutospacing="0" w:line="0" w:lineRule="atLeast"/>
        <w:jc w:val="both"/>
        <w:rPr>
          <w:rFonts w:hint="eastAsia" w:ascii="宋体" w:hAnsi="宋体" w:eastAsia="宋体" w:cs="宋体"/>
          <w:color w:val="auto"/>
          <w:highlight w:val="none"/>
        </w:rPr>
      </w:pPr>
    </w:p>
    <w:p w14:paraId="702E34E3">
      <w:pPr>
        <w:pStyle w:val="31"/>
        <w:spacing w:beforeAutospacing="0" w:afterAutospacing="0" w:line="0" w:lineRule="atLeast"/>
        <w:jc w:val="both"/>
        <w:rPr>
          <w:rFonts w:hint="eastAsia" w:ascii="宋体" w:hAnsi="宋体" w:eastAsia="宋体" w:cs="宋体"/>
          <w:color w:val="auto"/>
          <w:highlight w:val="none"/>
        </w:rPr>
      </w:pPr>
    </w:p>
    <w:p w14:paraId="119360B3">
      <w:pPr>
        <w:pStyle w:val="31"/>
        <w:spacing w:beforeAutospacing="0" w:afterAutospacing="0" w:line="0" w:lineRule="atLeast"/>
        <w:jc w:val="both"/>
        <w:rPr>
          <w:rFonts w:hint="eastAsia" w:ascii="宋体" w:hAnsi="宋体" w:eastAsia="宋体" w:cs="宋体"/>
          <w:color w:val="auto"/>
          <w:highlight w:val="none"/>
        </w:rPr>
      </w:pPr>
    </w:p>
    <w:p w14:paraId="07BFE6BC">
      <w:pPr>
        <w:pStyle w:val="31"/>
        <w:spacing w:beforeAutospacing="0" w:afterAutospacing="0" w:line="0" w:lineRule="atLeast"/>
        <w:jc w:val="both"/>
        <w:rPr>
          <w:rFonts w:hint="eastAsia" w:ascii="宋体" w:hAnsi="宋体" w:eastAsia="宋体" w:cs="宋体"/>
          <w:color w:val="auto"/>
          <w:highlight w:val="none"/>
        </w:rPr>
      </w:pPr>
    </w:p>
    <w:p w14:paraId="493242C2">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A58B421">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51AA364">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7141E71">
      <w:pPr>
        <w:pStyle w:val="31"/>
        <w:spacing w:beforeAutospacing="0" w:afterAutospacing="0"/>
        <w:jc w:val="center"/>
        <w:rPr>
          <w:rFonts w:hint="eastAsia" w:ascii="宋体" w:hAnsi="宋体" w:eastAsia="宋体" w:cs="宋体"/>
          <w:b/>
          <w:color w:val="auto"/>
          <w:sz w:val="32"/>
          <w:szCs w:val="32"/>
          <w:highlight w:val="none"/>
        </w:rPr>
      </w:pPr>
    </w:p>
    <w:p w14:paraId="53740848">
      <w:pPr>
        <w:pStyle w:val="31"/>
        <w:spacing w:beforeAutospacing="0" w:afterAutospacing="0"/>
        <w:jc w:val="center"/>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十二、投标分项报价表</w:t>
      </w:r>
      <w:r>
        <w:rPr>
          <w:rFonts w:hint="eastAsia" w:ascii="宋体" w:hAnsi="宋体" w:eastAsia="宋体" w:cs="宋体"/>
          <w:b/>
          <w:color w:val="auto"/>
          <w:sz w:val="32"/>
          <w:szCs w:val="32"/>
          <w:highlight w:val="none"/>
          <w:lang w:eastAsia="zh-CN"/>
        </w:rPr>
        <w:t xml:space="preserve"> </w:t>
      </w:r>
    </w:p>
    <w:tbl>
      <w:tblPr>
        <w:tblStyle w:val="34"/>
        <w:tblW w:w="4996" w:type="pct"/>
        <w:tblCellSpacing w:w="0" w:type="dxa"/>
        <w:tblInd w:w="0" w:type="dxa"/>
        <w:tblLayout w:type="autofit"/>
        <w:tblCellMar>
          <w:top w:w="0" w:type="dxa"/>
          <w:left w:w="108" w:type="dxa"/>
          <w:bottom w:w="0" w:type="dxa"/>
          <w:right w:w="108" w:type="dxa"/>
        </w:tblCellMar>
      </w:tblPr>
      <w:tblGrid>
        <w:gridCol w:w="638"/>
        <w:gridCol w:w="1165"/>
        <w:gridCol w:w="1059"/>
        <w:gridCol w:w="1520"/>
        <w:gridCol w:w="874"/>
        <w:gridCol w:w="1073"/>
        <w:gridCol w:w="814"/>
        <w:gridCol w:w="1483"/>
        <w:gridCol w:w="1348"/>
      </w:tblGrid>
      <w:tr w14:paraId="08E40440">
        <w:tblPrEx>
          <w:tblCellMar>
            <w:top w:w="0" w:type="dxa"/>
            <w:left w:w="108" w:type="dxa"/>
            <w:bottom w:w="0" w:type="dxa"/>
            <w:right w:w="108" w:type="dxa"/>
          </w:tblCellMar>
        </w:tblPrEx>
        <w:trPr>
          <w:trHeight w:val="544" w:hRule="atLeast"/>
          <w:tblCellSpacing w:w="0" w:type="dxa"/>
        </w:trPr>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B0D6D6">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58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A1D12E">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5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00F430">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7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8A7365">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B75B84">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D296DE">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392115">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7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18EF3B">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809E47">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8</w:t>
            </w:r>
          </w:p>
        </w:tc>
      </w:tr>
      <w:tr w14:paraId="580656BF">
        <w:tblPrEx>
          <w:tblCellMar>
            <w:top w:w="0" w:type="dxa"/>
            <w:left w:w="108" w:type="dxa"/>
            <w:bottom w:w="0" w:type="dxa"/>
            <w:right w:w="108" w:type="dxa"/>
          </w:tblCellMar>
        </w:tblPrEx>
        <w:trPr>
          <w:trHeight w:val="294" w:hRule="atLeast"/>
          <w:tblCellSpacing w:w="0" w:type="dxa"/>
        </w:trPr>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196991">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58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2FB9C0">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产品</w:t>
            </w:r>
          </w:p>
          <w:p w14:paraId="5BDDF0A9">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名称</w:t>
            </w:r>
          </w:p>
        </w:tc>
        <w:tc>
          <w:tcPr>
            <w:tcW w:w="5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E7BDFB">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品牌</w:t>
            </w:r>
          </w:p>
        </w:tc>
        <w:tc>
          <w:tcPr>
            <w:tcW w:w="7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7A04D1">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规格</w:t>
            </w:r>
          </w:p>
          <w:p w14:paraId="74EA239A">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型号</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E2C3FE">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产地</w:t>
            </w: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7136D9">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交付期</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F5B8E2">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数量</w:t>
            </w:r>
          </w:p>
        </w:tc>
        <w:tc>
          <w:tcPr>
            <w:tcW w:w="7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2AB1E5">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分项单价</w:t>
            </w:r>
          </w:p>
        </w:tc>
        <w:tc>
          <w:tcPr>
            <w:tcW w:w="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A17E4D">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分项总价</w:t>
            </w:r>
          </w:p>
        </w:tc>
      </w:tr>
      <w:tr w14:paraId="696BD07B">
        <w:tblPrEx>
          <w:tblCellMar>
            <w:top w:w="0" w:type="dxa"/>
            <w:left w:w="108" w:type="dxa"/>
            <w:bottom w:w="0" w:type="dxa"/>
            <w:right w:w="108" w:type="dxa"/>
          </w:tblCellMar>
        </w:tblPrEx>
        <w:trPr>
          <w:trHeight w:val="696" w:hRule="atLeast"/>
          <w:tblCellSpacing w:w="0" w:type="dxa"/>
        </w:trPr>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CB8326">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58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F6465F">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5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D95C6B">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504FB2">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AC592D">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F5D5DE">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9F8533">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78D48F">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D9F30A">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A24C518">
        <w:tblPrEx>
          <w:tblCellMar>
            <w:top w:w="0" w:type="dxa"/>
            <w:left w:w="108" w:type="dxa"/>
            <w:bottom w:w="0" w:type="dxa"/>
            <w:right w:w="108" w:type="dxa"/>
          </w:tblCellMar>
        </w:tblPrEx>
        <w:trPr>
          <w:trHeight w:val="724" w:hRule="atLeast"/>
          <w:tblCellSpacing w:w="0" w:type="dxa"/>
        </w:trPr>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6E4FDC">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58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F20838">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5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F7AC2E">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2C0974">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2C92ED">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9B4E40">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6E59C2">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495A41">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FBAFDC">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A0D57E3">
        <w:tblPrEx>
          <w:tblCellMar>
            <w:top w:w="0" w:type="dxa"/>
            <w:left w:w="108" w:type="dxa"/>
            <w:bottom w:w="0" w:type="dxa"/>
            <w:right w:w="108" w:type="dxa"/>
          </w:tblCellMar>
        </w:tblPrEx>
        <w:trPr>
          <w:trHeight w:val="640" w:hRule="atLeast"/>
          <w:tblCellSpacing w:w="0" w:type="dxa"/>
        </w:trPr>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329EF1">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58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18FE6D">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5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E17B06">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C58C51">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9BBD30">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E58F84">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0B2B87">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079FF8">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619A3C">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46C2136">
        <w:tblPrEx>
          <w:tblCellMar>
            <w:top w:w="0" w:type="dxa"/>
            <w:left w:w="108" w:type="dxa"/>
            <w:bottom w:w="0" w:type="dxa"/>
            <w:right w:w="108" w:type="dxa"/>
          </w:tblCellMar>
        </w:tblPrEx>
        <w:trPr>
          <w:trHeight w:val="580" w:hRule="atLeast"/>
          <w:tblCellSpacing w:w="0" w:type="dxa"/>
        </w:trPr>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717D30">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58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7FF200">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5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5D722C">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498F07">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EA312D">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2E8C75">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4F3204">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D55330">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ADFE2C">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2ADC6C13">
        <w:tblPrEx>
          <w:tblCellMar>
            <w:top w:w="0" w:type="dxa"/>
            <w:left w:w="108" w:type="dxa"/>
            <w:bottom w:w="0" w:type="dxa"/>
            <w:right w:w="108" w:type="dxa"/>
          </w:tblCellMar>
        </w:tblPrEx>
        <w:trPr>
          <w:trHeight w:val="1030" w:hRule="atLeast"/>
          <w:tblCellSpacing w:w="0" w:type="dxa"/>
        </w:trPr>
        <w:tc>
          <w:tcPr>
            <w:tcW w:w="4324" w:type="pct"/>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60D44B">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投标总报价（人民币：元）</w:t>
            </w:r>
          </w:p>
        </w:tc>
        <w:tc>
          <w:tcPr>
            <w:tcW w:w="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25D73E">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1F293BA1">
      <w:pPr>
        <w:pStyle w:val="31"/>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ascii="宋体" w:hAnsi="宋体" w:eastAsia="宋体" w:cs="宋体"/>
          <w:color w:val="auto"/>
          <w:sz w:val="21"/>
          <w:szCs w:val="21"/>
          <w:highlight w:val="none"/>
        </w:rPr>
        <w:t xml:space="preserve"> “</w:t>
      </w:r>
      <w:r>
        <w:rPr>
          <w:rFonts w:hint="eastAsia" w:ascii="宋体" w:hAnsi="宋体" w:eastAsia="宋体" w:cs="宋体"/>
          <w:color w:val="auto"/>
          <w:highlight w:val="none"/>
        </w:rPr>
        <w:t>投标分项报价表</w:t>
      </w:r>
      <w:r>
        <w:rPr>
          <w:rFonts w:hint="eastAsia" w:ascii="宋体" w:hAnsi="宋体" w:eastAsia="宋体" w:cs="宋体"/>
          <w:color w:val="auto"/>
          <w:sz w:val="21"/>
          <w:szCs w:val="21"/>
          <w:highlight w:val="none"/>
        </w:rPr>
        <w:t>”</w:t>
      </w:r>
      <w:r>
        <w:rPr>
          <w:rFonts w:hint="eastAsia" w:ascii="宋体" w:hAnsi="宋体" w:eastAsia="宋体" w:cs="宋体"/>
          <w:color w:val="auto"/>
          <w:highlight w:val="none"/>
        </w:rPr>
        <w:t>中“投标总报价”数额应当与“开标一览表”中“投标总报价”数额一致。</w:t>
      </w:r>
    </w:p>
    <w:p w14:paraId="5BDDBD4C">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C9916C9">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0D1F8AD">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11CC1E6">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F5E304A">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4CC00CA">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88E0536">
      <w:pPr>
        <w:pStyle w:val="31"/>
        <w:spacing w:beforeAutospacing="0" w:afterAutospacing="0"/>
        <w:jc w:val="both"/>
        <w:rPr>
          <w:rFonts w:hint="eastAsia" w:ascii="宋体" w:hAnsi="宋体" w:eastAsia="宋体" w:cs="宋体"/>
          <w:color w:val="auto"/>
          <w:highlight w:val="none"/>
        </w:rPr>
      </w:pPr>
    </w:p>
    <w:p w14:paraId="75A35125">
      <w:pPr>
        <w:pStyle w:val="31"/>
        <w:spacing w:beforeAutospacing="0" w:afterAutospacing="0"/>
        <w:jc w:val="both"/>
        <w:rPr>
          <w:rFonts w:hint="eastAsia" w:ascii="宋体" w:hAnsi="宋体" w:eastAsia="宋体" w:cs="宋体"/>
          <w:color w:val="auto"/>
          <w:highlight w:val="none"/>
        </w:rPr>
      </w:pPr>
    </w:p>
    <w:p w14:paraId="39421A7D">
      <w:pPr>
        <w:pStyle w:val="31"/>
        <w:spacing w:beforeAutospacing="0" w:afterAutospacing="0"/>
        <w:jc w:val="both"/>
        <w:rPr>
          <w:rFonts w:hint="eastAsia" w:ascii="宋体" w:hAnsi="宋体" w:eastAsia="宋体" w:cs="宋体"/>
          <w:color w:val="auto"/>
          <w:highlight w:val="none"/>
        </w:rPr>
      </w:pPr>
    </w:p>
    <w:p w14:paraId="35E7C532">
      <w:pPr>
        <w:pStyle w:val="31"/>
        <w:spacing w:beforeAutospacing="0" w:afterAutospacing="0"/>
        <w:jc w:val="both"/>
        <w:rPr>
          <w:rFonts w:hint="eastAsia" w:ascii="宋体" w:hAnsi="宋体" w:eastAsia="宋体" w:cs="宋体"/>
          <w:color w:val="auto"/>
          <w:highlight w:val="none"/>
        </w:rPr>
      </w:pPr>
    </w:p>
    <w:p w14:paraId="1FFEABD5">
      <w:pPr>
        <w:pStyle w:val="31"/>
        <w:spacing w:beforeAutospacing="0" w:afterAutospacing="0"/>
        <w:jc w:val="both"/>
        <w:rPr>
          <w:rFonts w:hint="eastAsia" w:ascii="宋体" w:hAnsi="宋体" w:eastAsia="宋体" w:cs="宋体"/>
          <w:color w:val="auto"/>
          <w:highlight w:val="none"/>
        </w:rPr>
      </w:pPr>
    </w:p>
    <w:p w14:paraId="1CAE657B">
      <w:pPr>
        <w:pStyle w:val="31"/>
        <w:spacing w:beforeAutospacing="0" w:afterAutospacing="0"/>
        <w:jc w:val="both"/>
        <w:rPr>
          <w:rFonts w:hint="eastAsia" w:ascii="宋体" w:hAnsi="宋体" w:eastAsia="宋体" w:cs="宋体"/>
          <w:color w:val="auto"/>
          <w:highlight w:val="none"/>
        </w:rPr>
      </w:pPr>
    </w:p>
    <w:p w14:paraId="1BA2E879">
      <w:pPr>
        <w:pStyle w:val="31"/>
        <w:spacing w:beforeAutospacing="0" w:afterAutospacing="0"/>
        <w:jc w:val="both"/>
        <w:rPr>
          <w:rFonts w:hint="eastAsia" w:ascii="宋体" w:hAnsi="宋体" w:eastAsia="宋体" w:cs="宋体"/>
          <w:color w:val="auto"/>
          <w:highlight w:val="none"/>
        </w:rPr>
      </w:pPr>
    </w:p>
    <w:p w14:paraId="61BD8BF6">
      <w:pPr>
        <w:pStyle w:val="31"/>
        <w:spacing w:beforeAutospacing="0" w:afterAutospacing="0"/>
        <w:jc w:val="both"/>
        <w:rPr>
          <w:rFonts w:hint="eastAsia" w:ascii="宋体" w:hAnsi="宋体" w:eastAsia="宋体" w:cs="宋体"/>
          <w:color w:val="auto"/>
          <w:highlight w:val="none"/>
        </w:rPr>
      </w:pPr>
    </w:p>
    <w:p w14:paraId="18FB6B38">
      <w:pPr>
        <w:pStyle w:val="31"/>
        <w:spacing w:beforeAutospacing="0" w:afterAutospacing="0"/>
        <w:jc w:val="both"/>
        <w:rPr>
          <w:rFonts w:hint="eastAsia" w:ascii="宋体" w:hAnsi="宋体" w:eastAsia="宋体" w:cs="宋体"/>
          <w:color w:val="auto"/>
          <w:highlight w:val="none"/>
        </w:rPr>
      </w:pPr>
    </w:p>
    <w:p w14:paraId="658ED0CA">
      <w:pPr>
        <w:pStyle w:val="31"/>
        <w:spacing w:beforeAutospacing="0" w:afterAutospacing="0"/>
        <w:jc w:val="both"/>
        <w:rPr>
          <w:rFonts w:hint="eastAsia" w:ascii="宋体" w:hAnsi="宋体" w:eastAsia="宋体" w:cs="宋体"/>
          <w:color w:val="auto"/>
          <w:highlight w:val="none"/>
        </w:rPr>
      </w:pPr>
    </w:p>
    <w:p w14:paraId="48FC89E7">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E272616">
      <w:pPr>
        <w:pStyle w:val="31"/>
        <w:spacing w:beforeAutospacing="0" w:afterAutospacing="0"/>
        <w:jc w:val="both"/>
        <w:rPr>
          <w:rFonts w:hint="eastAsia" w:ascii="宋体" w:hAnsi="宋体" w:eastAsia="宋体" w:cs="宋体"/>
          <w:color w:val="auto"/>
          <w:highlight w:val="none"/>
        </w:rPr>
      </w:pPr>
    </w:p>
    <w:p w14:paraId="22D30A86">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792ACA7">
      <w:pPr>
        <w:pStyle w:val="31"/>
        <w:spacing w:beforeAutospacing="0" w:afterAutospacing="0"/>
        <w:jc w:val="center"/>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十三、技术要求响应及偏离表</w:t>
      </w:r>
      <w:r>
        <w:rPr>
          <w:rFonts w:hint="eastAsia" w:ascii="宋体" w:hAnsi="宋体" w:eastAsia="宋体" w:cs="宋体"/>
          <w:b/>
          <w:color w:val="auto"/>
          <w:sz w:val="32"/>
          <w:szCs w:val="32"/>
          <w:highlight w:val="none"/>
          <w:lang w:eastAsia="zh-CN"/>
        </w:rPr>
        <w:t xml:space="preserve"> </w:t>
      </w:r>
    </w:p>
    <w:tbl>
      <w:tblPr>
        <w:tblStyle w:val="34"/>
        <w:tblW w:w="4998" w:type="pct"/>
        <w:tblCellSpacing w:w="0" w:type="dxa"/>
        <w:tblInd w:w="0" w:type="dxa"/>
        <w:tblLayout w:type="autofit"/>
        <w:tblCellMar>
          <w:top w:w="0" w:type="dxa"/>
          <w:left w:w="108" w:type="dxa"/>
          <w:bottom w:w="0" w:type="dxa"/>
          <w:right w:w="108" w:type="dxa"/>
        </w:tblCellMar>
      </w:tblPr>
      <w:tblGrid>
        <w:gridCol w:w="629"/>
        <w:gridCol w:w="3546"/>
        <w:gridCol w:w="3055"/>
        <w:gridCol w:w="1460"/>
        <w:gridCol w:w="1288"/>
      </w:tblGrid>
      <w:tr w14:paraId="5BC80440">
        <w:tblPrEx>
          <w:tblCellMar>
            <w:top w:w="0" w:type="dxa"/>
            <w:left w:w="108" w:type="dxa"/>
            <w:bottom w:w="0" w:type="dxa"/>
            <w:right w:w="108" w:type="dxa"/>
          </w:tblCellMar>
        </w:tblPrEx>
        <w:trPr>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234188">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0E3743">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F368E2">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2D20E4">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超出、符合或偏离</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6F0DEA">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证明</w:t>
            </w:r>
          </w:p>
          <w:p w14:paraId="21AF2F1A">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材料</w:t>
            </w:r>
          </w:p>
        </w:tc>
      </w:tr>
      <w:tr w14:paraId="330EBA71">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A82544">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26651C">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16F2A6">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739296">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E1920A">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2B5771AE">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39E353">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57E111">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AC0FB5">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2D4597">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07B60D">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28EB05F3">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B68C69">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F24B43">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D223CB">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8AB2D7">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31E882">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9236FC8">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7A8E55">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A7BAA7">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7320E6">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D9A877">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9EA7B7">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292115A1">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6673DF">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40AAB1">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598B60">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949C80">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2FC93B">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2628ADA6">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9C50F6">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22DDA5">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EEFEB8">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E6A694">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826FF6">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788063FC">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74126F">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699B8F">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694165">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A3A8FD">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D3A492">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E044CB6">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B58A77">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1B982B">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4F4987">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1BC1A3">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25C246">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53BFC559">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注： 行数不够，可自行添加。</w:t>
      </w:r>
    </w:p>
    <w:p w14:paraId="5B95B4B5">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6C45603">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673E17D">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2B76B9B">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2CF63FC">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0B37637">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37A430C">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DCADD68">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0C7E18A">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F4EA4A6">
      <w:pPr>
        <w:pStyle w:val="31"/>
        <w:spacing w:beforeAutospacing="0" w:afterAutospacing="0"/>
        <w:jc w:val="both"/>
        <w:rPr>
          <w:rFonts w:hint="eastAsia" w:ascii="宋体" w:hAnsi="宋体" w:eastAsia="宋体" w:cs="宋体"/>
          <w:color w:val="auto"/>
          <w:highlight w:val="none"/>
        </w:rPr>
      </w:pPr>
    </w:p>
    <w:p w14:paraId="77EDE4B7">
      <w:pPr>
        <w:pStyle w:val="31"/>
        <w:spacing w:beforeAutospacing="0" w:afterAutospacing="0"/>
        <w:jc w:val="both"/>
        <w:rPr>
          <w:rFonts w:hint="eastAsia" w:ascii="宋体" w:hAnsi="宋体" w:eastAsia="宋体" w:cs="宋体"/>
          <w:color w:val="auto"/>
          <w:highlight w:val="none"/>
        </w:rPr>
      </w:pPr>
    </w:p>
    <w:p w14:paraId="48617759">
      <w:pPr>
        <w:pStyle w:val="31"/>
        <w:spacing w:beforeAutospacing="0" w:afterAutospacing="0"/>
        <w:jc w:val="both"/>
        <w:rPr>
          <w:rFonts w:hint="eastAsia" w:ascii="宋体" w:hAnsi="宋体" w:eastAsia="宋体" w:cs="宋体"/>
          <w:color w:val="auto"/>
          <w:highlight w:val="none"/>
        </w:rPr>
      </w:pPr>
    </w:p>
    <w:p w14:paraId="2C384A25">
      <w:pPr>
        <w:pStyle w:val="31"/>
        <w:spacing w:beforeAutospacing="0" w:afterAutospacing="0"/>
        <w:jc w:val="both"/>
        <w:rPr>
          <w:rFonts w:hint="eastAsia" w:ascii="宋体" w:hAnsi="宋体" w:eastAsia="宋体" w:cs="宋体"/>
          <w:color w:val="auto"/>
          <w:highlight w:val="none"/>
        </w:rPr>
      </w:pPr>
    </w:p>
    <w:p w14:paraId="4C3E5FE8">
      <w:pPr>
        <w:pStyle w:val="31"/>
        <w:spacing w:beforeAutospacing="0" w:afterAutospacing="0"/>
        <w:jc w:val="both"/>
        <w:rPr>
          <w:rFonts w:hint="eastAsia" w:ascii="宋体" w:hAnsi="宋体" w:eastAsia="宋体" w:cs="宋体"/>
          <w:color w:val="auto"/>
          <w:highlight w:val="none"/>
        </w:rPr>
      </w:pPr>
    </w:p>
    <w:p w14:paraId="4EB7E116">
      <w:pPr>
        <w:pStyle w:val="31"/>
        <w:spacing w:beforeAutospacing="0" w:afterAutospacing="0"/>
        <w:jc w:val="both"/>
        <w:rPr>
          <w:rFonts w:hint="eastAsia" w:ascii="宋体" w:hAnsi="宋体" w:eastAsia="宋体" w:cs="宋体"/>
          <w:color w:val="auto"/>
          <w:highlight w:val="none"/>
        </w:rPr>
      </w:pPr>
    </w:p>
    <w:p w14:paraId="3883866C">
      <w:pPr>
        <w:pStyle w:val="31"/>
        <w:spacing w:beforeAutospacing="0" w:afterAutospacing="0"/>
        <w:jc w:val="both"/>
        <w:rPr>
          <w:rFonts w:hint="eastAsia" w:ascii="宋体" w:hAnsi="宋体" w:eastAsia="宋体" w:cs="宋体"/>
          <w:color w:val="auto"/>
          <w:highlight w:val="none"/>
        </w:rPr>
      </w:pPr>
    </w:p>
    <w:p w14:paraId="172FB2D3">
      <w:pPr>
        <w:pStyle w:val="31"/>
        <w:spacing w:beforeAutospacing="0" w:afterAutospacing="0"/>
        <w:jc w:val="both"/>
        <w:rPr>
          <w:rFonts w:hint="eastAsia" w:ascii="宋体" w:hAnsi="宋体" w:eastAsia="宋体" w:cs="宋体"/>
          <w:color w:val="auto"/>
          <w:highlight w:val="none"/>
        </w:rPr>
      </w:pPr>
    </w:p>
    <w:p w14:paraId="06B6B31F">
      <w:pPr>
        <w:pStyle w:val="31"/>
        <w:spacing w:beforeAutospacing="0" w:afterAutospacing="0"/>
        <w:jc w:val="both"/>
        <w:rPr>
          <w:rFonts w:hint="eastAsia" w:ascii="宋体" w:hAnsi="宋体" w:eastAsia="宋体" w:cs="宋体"/>
          <w:color w:val="auto"/>
          <w:highlight w:val="none"/>
        </w:rPr>
      </w:pPr>
    </w:p>
    <w:p w14:paraId="7DEB561B">
      <w:pPr>
        <w:pStyle w:val="31"/>
        <w:spacing w:beforeAutospacing="0" w:afterAutospacing="0"/>
        <w:jc w:val="both"/>
        <w:rPr>
          <w:rFonts w:hint="eastAsia" w:ascii="宋体" w:hAnsi="宋体" w:eastAsia="宋体" w:cs="宋体"/>
          <w:color w:val="auto"/>
          <w:highlight w:val="none"/>
        </w:rPr>
      </w:pPr>
    </w:p>
    <w:p w14:paraId="559A3662">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40255FE">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F6052BE">
      <w:pPr>
        <w:pStyle w:val="31"/>
        <w:spacing w:beforeAutospacing="0" w:afterAutospacing="0"/>
        <w:jc w:val="both"/>
        <w:rPr>
          <w:rFonts w:hint="eastAsia" w:ascii="宋体" w:hAnsi="宋体" w:eastAsia="宋体" w:cs="宋体"/>
          <w:color w:val="auto"/>
          <w:highlight w:val="none"/>
        </w:rPr>
      </w:pPr>
    </w:p>
    <w:p w14:paraId="40F76D54">
      <w:pPr>
        <w:pStyle w:val="31"/>
        <w:spacing w:beforeAutospacing="0" w:afterAutospacing="0"/>
        <w:jc w:val="both"/>
        <w:rPr>
          <w:rFonts w:hint="eastAsia" w:ascii="宋体" w:hAnsi="宋体" w:eastAsia="宋体" w:cs="宋体"/>
          <w:color w:val="auto"/>
          <w:highlight w:val="none"/>
        </w:rPr>
      </w:pPr>
    </w:p>
    <w:p w14:paraId="5987D7F8">
      <w:pPr>
        <w:pStyle w:val="31"/>
        <w:spacing w:beforeAutospacing="0" w:afterAutospacing="0"/>
        <w:jc w:val="center"/>
        <w:rPr>
          <w:rFonts w:hint="eastAsia" w:ascii="宋体" w:hAnsi="宋体" w:eastAsia="宋体" w:cs="宋体"/>
          <w:color w:val="auto"/>
          <w:highlight w:val="none"/>
          <w:lang w:eastAsia="zh-CN"/>
        </w:rPr>
      </w:pPr>
      <w:bookmarkStart w:id="266" w:name="_Hlt26955054"/>
      <w:r>
        <w:rPr>
          <w:rFonts w:hint="eastAsia" w:ascii="宋体" w:hAnsi="宋体" w:eastAsia="宋体" w:cs="宋体"/>
          <w:b/>
          <w:color w:val="auto"/>
          <w:sz w:val="32"/>
          <w:szCs w:val="32"/>
          <w:highlight w:val="none"/>
        </w:rPr>
        <w:t>十四、商务要求响应及偏离表</w:t>
      </w:r>
      <w:r>
        <w:rPr>
          <w:rFonts w:hint="eastAsia" w:ascii="宋体" w:hAnsi="宋体" w:eastAsia="宋体" w:cs="宋体"/>
          <w:b/>
          <w:color w:val="auto"/>
          <w:sz w:val="32"/>
          <w:szCs w:val="32"/>
          <w:highlight w:val="none"/>
          <w:lang w:eastAsia="zh-CN"/>
        </w:rPr>
        <w:t xml:space="preserve"> </w:t>
      </w:r>
    </w:p>
    <w:tbl>
      <w:tblPr>
        <w:tblStyle w:val="34"/>
        <w:tblW w:w="4998" w:type="pct"/>
        <w:tblCellSpacing w:w="0" w:type="dxa"/>
        <w:tblInd w:w="0" w:type="dxa"/>
        <w:tblLayout w:type="autofit"/>
        <w:tblCellMar>
          <w:top w:w="0" w:type="dxa"/>
          <w:left w:w="108" w:type="dxa"/>
          <w:bottom w:w="0" w:type="dxa"/>
          <w:right w:w="108" w:type="dxa"/>
        </w:tblCellMar>
      </w:tblPr>
      <w:tblGrid>
        <w:gridCol w:w="629"/>
        <w:gridCol w:w="3546"/>
        <w:gridCol w:w="3055"/>
        <w:gridCol w:w="1460"/>
        <w:gridCol w:w="1288"/>
      </w:tblGrid>
      <w:tr w14:paraId="73E6638B">
        <w:tblPrEx>
          <w:tblCellMar>
            <w:top w:w="0" w:type="dxa"/>
            <w:left w:w="108" w:type="dxa"/>
            <w:bottom w:w="0" w:type="dxa"/>
            <w:right w:w="108" w:type="dxa"/>
          </w:tblCellMar>
        </w:tblPrEx>
        <w:trPr>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C2FFBE">
            <w:pPr>
              <w:pStyle w:val="31"/>
              <w:spacing w:beforeAutospacing="0" w:afterAutospacing="0"/>
              <w:jc w:val="center"/>
              <w:rPr>
                <w:rFonts w:hint="eastAsia" w:ascii="宋体" w:hAnsi="宋体" w:eastAsia="宋体" w:cs="宋体"/>
                <w:color w:val="auto"/>
                <w:highlight w:val="none"/>
              </w:rPr>
            </w:pPr>
            <w:bookmarkStart w:id="267" w:name="_Hlt26580838"/>
            <w:bookmarkStart w:id="268" w:name="_Hlt26609391"/>
            <w:bookmarkStart w:id="269" w:name="_Hlt26671343"/>
            <w:bookmarkStart w:id="270" w:name="_Hlt24879081"/>
            <w:bookmarkStart w:id="271" w:name="_Hlt26955064"/>
            <w:bookmarkStart w:id="272" w:name="_Hlt26671372"/>
            <w:bookmarkStart w:id="273" w:name="_Hlt26782999"/>
            <w:bookmarkStart w:id="274" w:name="_Hlt26955056"/>
            <w:r>
              <w:rPr>
                <w:rFonts w:hint="eastAsia" w:ascii="宋体" w:hAnsi="宋体" w:eastAsia="宋体" w:cs="宋体"/>
                <w:color w:val="auto"/>
                <w:highlight w:val="none"/>
              </w:rPr>
              <w:t>序号</w:t>
            </w:r>
            <w:bookmarkEnd w:id="267"/>
            <w:bookmarkEnd w:id="268"/>
            <w:bookmarkEnd w:id="269"/>
            <w:bookmarkEnd w:id="270"/>
            <w:bookmarkEnd w:id="271"/>
            <w:bookmarkEnd w:id="272"/>
            <w:bookmarkEnd w:id="273"/>
            <w:bookmarkEnd w:id="274"/>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B14756">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41B047">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F6C8B7">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超出、符合或偏离</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6B6DAE">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证明</w:t>
            </w:r>
          </w:p>
          <w:p w14:paraId="0CE04377">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材料</w:t>
            </w:r>
          </w:p>
        </w:tc>
      </w:tr>
      <w:tr w14:paraId="7491F6FD">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471DEA">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09F279">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B585A5">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9E6E33">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7D8590">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1375F6E">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E252E7">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081B70">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9CDDC9">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AAB8BE">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EC5AF2">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6B73F23B">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410A7C">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3FF82D">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BEDBD3">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9F75D9">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67702A">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83A17DD">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4B02AE">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607FAC">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2FF9EC">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FF9953">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6CB9C0">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7F5BF2DA">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4307A5">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0B4E72">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3E63DD">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050E72">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8681E7">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4E347D99">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DB8ECE">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4FEE7D">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55F372">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0AAE82">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B302ED">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1E625C8">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C061D5">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B43B4B">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C11E2E">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E3BBB5">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7A989A">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6392EB27">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4CF643">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7443CC">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2E8F68">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83F317">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0D6899">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2801D1CB">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注： 行数不够，可自行添加。</w:t>
      </w:r>
    </w:p>
    <w:p w14:paraId="164D7E78">
      <w:pPr>
        <w:pStyle w:val="31"/>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5AA3C4E">
      <w:pPr>
        <w:pStyle w:val="31"/>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536EDCA">
      <w:pPr>
        <w:pStyle w:val="31"/>
        <w:spacing w:beforeAutospacing="0" w:afterAutospacing="0"/>
        <w:jc w:val="center"/>
        <w:rPr>
          <w:rFonts w:hint="eastAsia" w:ascii="宋体" w:hAnsi="宋体" w:eastAsia="宋体" w:cs="宋体"/>
          <w:color w:val="auto"/>
          <w:highlight w:val="none"/>
        </w:rPr>
      </w:pPr>
      <w:bookmarkStart w:id="275" w:name="_Hlt26609389"/>
      <w:bookmarkStart w:id="276" w:name="_格式2__法定代表人授权书"/>
      <w:bookmarkStart w:id="277" w:name="_Toc462564146"/>
      <w:bookmarkStart w:id="278" w:name="_Hlt26955066"/>
      <w:bookmarkStart w:id="279" w:name="_Hlt26671374"/>
      <w:r>
        <w:rPr>
          <w:rFonts w:hint="eastAsia" w:ascii="宋体" w:hAnsi="宋体" w:eastAsia="宋体" w:cs="宋体"/>
          <w:color w:val="auto"/>
          <w:highlight w:val="none"/>
        </w:rPr>
        <w:t> </w:t>
      </w:r>
    </w:p>
    <w:p w14:paraId="06D4917A">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242C496">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B5AEA30">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B2615D3">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782D59C">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A049C20">
      <w:pPr>
        <w:pStyle w:val="31"/>
        <w:spacing w:beforeAutospacing="0" w:afterAutospacing="0"/>
        <w:jc w:val="center"/>
        <w:rPr>
          <w:rFonts w:hint="eastAsia" w:ascii="宋体" w:hAnsi="宋体" w:eastAsia="宋体" w:cs="宋体"/>
          <w:color w:val="auto"/>
          <w:highlight w:val="none"/>
        </w:rPr>
      </w:pPr>
    </w:p>
    <w:p w14:paraId="45DF8F58">
      <w:pPr>
        <w:pStyle w:val="31"/>
        <w:spacing w:beforeAutospacing="0" w:afterAutospacing="0"/>
        <w:jc w:val="center"/>
        <w:rPr>
          <w:rFonts w:hint="eastAsia" w:ascii="宋体" w:hAnsi="宋体" w:eastAsia="宋体" w:cs="宋体"/>
          <w:color w:val="auto"/>
          <w:highlight w:val="none"/>
        </w:rPr>
      </w:pPr>
    </w:p>
    <w:p w14:paraId="7E2652D6">
      <w:pPr>
        <w:pStyle w:val="31"/>
        <w:spacing w:beforeAutospacing="0" w:afterAutospacing="0"/>
        <w:jc w:val="center"/>
        <w:rPr>
          <w:rFonts w:hint="eastAsia" w:ascii="宋体" w:hAnsi="宋体" w:eastAsia="宋体" w:cs="宋体"/>
          <w:color w:val="auto"/>
          <w:highlight w:val="none"/>
        </w:rPr>
      </w:pPr>
    </w:p>
    <w:p w14:paraId="3EB14AC2">
      <w:pPr>
        <w:pStyle w:val="31"/>
        <w:spacing w:beforeAutospacing="0" w:afterAutospacing="0"/>
        <w:jc w:val="center"/>
        <w:rPr>
          <w:rFonts w:hint="eastAsia" w:ascii="宋体" w:hAnsi="宋体" w:eastAsia="宋体" w:cs="宋体"/>
          <w:color w:val="auto"/>
          <w:highlight w:val="none"/>
        </w:rPr>
      </w:pPr>
    </w:p>
    <w:p w14:paraId="695E9D8C">
      <w:pPr>
        <w:pStyle w:val="31"/>
        <w:spacing w:beforeAutospacing="0" w:afterAutospacing="0"/>
        <w:jc w:val="center"/>
        <w:rPr>
          <w:rFonts w:hint="eastAsia" w:ascii="宋体" w:hAnsi="宋体" w:eastAsia="宋体" w:cs="宋体"/>
          <w:color w:val="auto"/>
          <w:highlight w:val="none"/>
        </w:rPr>
      </w:pPr>
    </w:p>
    <w:p w14:paraId="76C2C02B">
      <w:pPr>
        <w:pStyle w:val="31"/>
        <w:spacing w:beforeAutospacing="0" w:afterAutospacing="0"/>
        <w:jc w:val="center"/>
        <w:rPr>
          <w:rFonts w:hint="eastAsia" w:ascii="宋体" w:hAnsi="宋体" w:eastAsia="宋体" w:cs="宋体"/>
          <w:color w:val="auto"/>
          <w:highlight w:val="none"/>
        </w:rPr>
      </w:pPr>
    </w:p>
    <w:p w14:paraId="41BF5CEF">
      <w:pPr>
        <w:pStyle w:val="31"/>
        <w:spacing w:beforeAutospacing="0" w:afterAutospacing="0"/>
        <w:jc w:val="center"/>
        <w:rPr>
          <w:rFonts w:hint="eastAsia" w:ascii="宋体" w:hAnsi="宋体" w:eastAsia="宋体" w:cs="宋体"/>
          <w:color w:val="auto"/>
          <w:highlight w:val="none"/>
        </w:rPr>
      </w:pPr>
    </w:p>
    <w:p w14:paraId="43C4131D">
      <w:pPr>
        <w:pStyle w:val="31"/>
        <w:spacing w:beforeAutospacing="0" w:afterAutospacing="0"/>
        <w:jc w:val="center"/>
        <w:rPr>
          <w:rFonts w:hint="eastAsia" w:ascii="宋体" w:hAnsi="宋体" w:eastAsia="宋体" w:cs="宋体"/>
          <w:color w:val="auto"/>
          <w:highlight w:val="none"/>
        </w:rPr>
      </w:pPr>
    </w:p>
    <w:p w14:paraId="72784D27">
      <w:pPr>
        <w:pStyle w:val="31"/>
        <w:spacing w:beforeAutospacing="0" w:afterAutospacing="0"/>
        <w:jc w:val="center"/>
        <w:rPr>
          <w:rFonts w:hint="eastAsia" w:ascii="宋体" w:hAnsi="宋体" w:eastAsia="宋体" w:cs="宋体"/>
          <w:color w:val="auto"/>
          <w:highlight w:val="none"/>
        </w:rPr>
      </w:pPr>
    </w:p>
    <w:p w14:paraId="17B90B8C">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5155083">
      <w:pPr>
        <w:pStyle w:val="31"/>
        <w:spacing w:beforeAutospacing="0" w:afterAutospacing="0"/>
        <w:jc w:val="center"/>
        <w:rPr>
          <w:rFonts w:hint="eastAsia" w:ascii="宋体" w:hAnsi="宋体" w:eastAsia="宋体" w:cs="宋体"/>
          <w:color w:val="auto"/>
          <w:highlight w:val="none"/>
        </w:rPr>
      </w:pPr>
    </w:p>
    <w:p w14:paraId="58AC913E">
      <w:pPr>
        <w:pStyle w:val="31"/>
        <w:spacing w:beforeAutospacing="0" w:afterAutospacing="0"/>
        <w:jc w:val="center"/>
        <w:rPr>
          <w:rFonts w:hint="eastAsia" w:ascii="宋体" w:hAnsi="宋体" w:eastAsia="宋体" w:cs="宋体"/>
          <w:color w:val="auto"/>
          <w:highlight w:val="none"/>
        </w:rPr>
      </w:pPr>
    </w:p>
    <w:p w14:paraId="31C866FA">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0D75C9E">
      <w:pPr>
        <w:spacing w:before="50" w:after="50"/>
        <w:jc w:val="left"/>
        <w:rPr>
          <w:rFonts w:hint="eastAsia" w:ascii="宋体" w:hAnsi="宋体" w:eastAsia="宋体" w:cs="宋体"/>
          <w:color w:val="auto"/>
          <w:sz w:val="32"/>
          <w:szCs w:val="32"/>
          <w:highlight w:val="none"/>
        </w:rPr>
      </w:pPr>
      <w:r>
        <w:rPr>
          <w:rFonts w:hint="eastAsia" w:ascii="宋体" w:hAnsi="宋体" w:eastAsia="宋体" w:cs="宋体"/>
          <w:b/>
          <w:i/>
          <w:color w:val="auto"/>
          <w:sz w:val="32"/>
          <w:szCs w:val="32"/>
          <w:highlight w:val="none"/>
          <w:u w:val="single"/>
        </w:rPr>
        <w:t>十五、开标一览表</w:t>
      </w:r>
    </w:p>
    <w:tbl>
      <w:tblPr>
        <w:tblStyle w:val="34"/>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909"/>
        <w:gridCol w:w="5041"/>
      </w:tblGrid>
      <w:tr w14:paraId="4E979D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9" w:hRule="atLeast"/>
        </w:trPr>
        <w:tc>
          <w:tcPr>
            <w:tcW w:w="2467" w:type="pct"/>
            <w:noWrap w:val="0"/>
            <w:vAlign w:val="center"/>
          </w:tcPr>
          <w:p w14:paraId="6BD6CED9">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项目编号</w:t>
            </w:r>
          </w:p>
        </w:tc>
        <w:tc>
          <w:tcPr>
            <w:tcW w:w="2532" w:type="pct"/>
            <w:noWrap w:val="0"/>
            <w:vAlign w:val="center"/>
          </w:tcPr>
          <w:p w14:paraId="1A632EA7">
            <w:pPr>
              <w:pStyle w:val="208"/>
              <w:ind w:firstLine="689"/>
              <w:jc w:val="both"/>
              <w:outlineLvl w:val="9"/>
              <w:rPr>
                <w:rFonts w:hint="eastAsia" w:ascii="宋体" w:hAnsi="宋体" w:eastAsia="宋体" w:cs="宋体"/>
                <w:color w:val="auto"/>
                <w:sz w:val="24"/>
                <w:szCs w:val="24"/>
                <w:highlight w:val="none"/>
              </w:rPr>
            </w:pPr>
          </w:p>
        </w:tc>
      </w:tr>
      <w:tr w14:paraId="392D1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9" w:hRule="atLeast"/>
        </w:trPr>
        <w:tc>
          <w:tcPr>
            <w:tcW w:w="2467" w:type="pct"/>
            <w:noWrap w:val="0"/>
            <w:vAlign w:val="center"/>
          </w:tcPr>
          <w:p w14:paraId="20EE852E">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项目名称</w:t>
            </w:r>
          </w:p>
        </w:tc>
        <w:tc>
          <w:tcPr>
            <w:tcW w:w="2532" w:type="pct"/>
            <w:noWrap w:val="0"/>
            <w:vAlign w:val="center"/>
          </w:tcPr>
          <w:p w14:paraId="637F9E71">
            <w:pPr>
              <w:pStyle w:val="208"/>
              <w:jc w:val="both"/>
              <w:outlineLvl w:val="9"/>
              <w:rPr>
                <w:rFonts w:hint="eastAsia" w:ascii="宋体" w:hAnsi="宋体" w:eastAsia="宋体" w:cs="宋体"/>
                <w:color w:val="auto"/>
                <w:sz w:val="24"/>
                <w:szCs w:val="24"/>
                <w:highlight w:val="none"/>
              </w:rPr>
            </w:pPr>
          </w:p>
        </w:tc>
      </w:tr>
      <w:tr w14:paraId="477CF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1" w:hRule="atLeast"/>
        </w:trPr>
        <w:tc>
          <w:tcPr>
            <w:tcW w:w="2467" w:type="pct"/>
            <w:noWrap w:val="0"/>
            <w:vAlign w:val="center"/>
          </w:tcPr>
          <w:p w14:paraId="17E81FF9">
            <w:pPr>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核心产品</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倒计时</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品牌</w:t>
            </w:r>
          </w:p>
        </w:tc>
        <w:tc>
          <w:tcPr>
            <w:tcW w:w="2532" w:type="pct"/>
            <w:noWrap w:val="0"/>
            <w:vAlign w:val="center"/>
          </w:tcPr>
          <w:p w14:paraId="41C4AC2D">
            <w:pPr>
              <w:rPr>
                <w:rFonts w:hint="eastAsia" w:ascii="宋体" w:hAnsi="宋体" w:eastAsia="宋体" w:cs="宋体"/>
                <w:color w:val="auto"/>
                <w:sz w:val="24"/>
                <w:szCs w:val="24"/>
                <w:highlight w:val="none"/>
              </w:rPr>
            </w:pPr>
          </w:p>
        </w:tc>
      </w:tr>
      <w:tr w14:paraId="17DFB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7" w:hRule="atLeast"/>
        </w:trPr>
        <w:tc>
          <w:tcPr>
            <w:tcW w:w="5000" w:type="pct"/>
            <w:gridSpan w:val="2"/>
            <w:shd w:val="clear" w:color="auto" w:fill="auto"/>
            <w:noWrap w:val="0"/>
            <w:vAlign w:val="center"/>
          </w:tcPr>
          <w:p w14:paraId="46ADBA80">
            <w:pPr>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项目投标报价：（大写）</w:t>
            </w:r>
            <w:r>
              <w:rPr>
                <w:rFonts w:hint="eastAsia" w:ascii="宋体" w:hAnsi="宋体" w:eastAsia="宋体" w:cs="宋体"/>
                <w:b/>
                <w:bCs/>
                <w:color w:val="auto"/>
                <w:sz w:val="24"/>
                <w:szCs w:val="24"/>
                <w:highlight w:val="none"/>
                <w:u w:val="single"/>
              </w:rPr>
              <w:t xml:space="preserve">                       元</w:t>
            </w:r>
            <w:r>
              <w:rPr>
                <w:rFonts w:hint="eastAsia" w:ascii="宋体" w:hAnsi="宋体" w:eastAsia="宋体" w:cs="宋体"/>
                <w:b/>
                <w:bCs/>
                <w:color w:val="auto"/>
                <w:sz w:val="24"/>
                <w:szCs w:val="24"/>
                <w:highlight w:val="none"/>
              </w:rPr>
              <w:t>，小写：</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元</w:t>
            </w:r>
          </w:p>
        </w:tc>
      </w:tr>
      <w:tr w14:paraId="4B37A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7" w:hRule="atLeast"/>
        </w:trPr>
        <w:tc>
          <w:tcPr>
            <w:tcW w:w="5000" w:type="pct"/>
            <w:gridSpan w:val="2"/>
            <w:shd w:val="clear" w:color="auto" w:fill="auto"/>
            <w:noWrap w:val="0"/>
            <w:vAlign w:val="center"/>
          </w:tcPr>
          <w:p w14:paraId="4D921339">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Cs w:val="28"/>
                <w:highlight w:val="none"/>
              </w:rPr>
              <w:t>是否提供《企业类型声明函》：</w:t>
            </w:r>
            <w:r>
              <w:rPr>
                <w:rFonts w:hint="eastAsia" w:ascii="宋体" w:hAnsi="宋体" w:eastAsia="宋体" w:cs="宋体"/>
                <w:b/>
                <w:bCs/>
                <w:color w:val="auto"/>
                <w:szCs w:val="28"/>
                <w:highlight w:val="none"/>
                <w:u w:val="single"/>
              </w:rPr>
              <w:t xml:space="preserve">  是/否   </w:t>
            </w:r>
            <w:r>
              <w:rPr>
                <w:rFonts w:hint="eastAsia" w:ascii="宋体" w:hAnsi="宋体" w:eastAsia="宋体" w:cs="宋体"/>
                <w:b/>
                <w:bCs/>
                <w:color w:val="auto"/>
                <w:szCs w:val="28"/>
                <w:highlight w:val="none"/>
              </w:rPr>
              <w:t xml:space="preserve">           见</w:t>
            </w:r>
            <w:r>
              <w:rPr>
                <w:rFonts w:hint="eastAsia" w:ascii="宋体" w:hAnsi="宋体" w:eastAsia="宋体" w:cs="宋体"/>
                <w:b/>
                <w:bCs/>
                <w:color w:val="auto"/>
                <w:szCs w:val="28"/>
                <w:highlight w:val="none"/>
                <w:u w:val="single"/>
              </w:rPr>
              <w:t>（          ）</w:t>
            </w:r>
            <w:r>
              <w:rPr>
                <w:rFonts w:hint="eastAsia" w:ascii="宋体" w:hAnsi="宋体" w:eastAsia="宋体" w:cs="宋体"/>
                <w:b/>
                <w:bCs/>
                <w:color w:val="auto"/>
                <w:szCs w:val="28"/>
                <w:highlight w:val="none"/>
              </w:rPr>
              <w:t>页</w:t>
            </w:r>
          </w:p>
        </w:tc>
      </w:tr>
      <w:tr w14:paraId="4C49E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7" w:hRule="atLeast"/>
        </w:trPr>
        <w:tc>
          <w:tcPr>
            <w:tcW w:w="5000" w:type="pct"/>
            <w:gridSpan w:val="2"/>
            <w:shd w:val="clear" w:color="auto" w:fill="auto"/>
            <w:noWrap w:val="0"/>
            <w:vAlign w:val="center"/>
          </w:tcPr>
          <w:p w14:paraId="6BEC0CC1">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合同履行期限： </w:t>
            </w:r>
          </w:p>
        </w:tc>
      </w:tr>
      <w:tr w14:paraId="43872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7" w:hRule="atLeast"/>
        </w:trPr>
        <w:tc>
          <w:tcPr>
            <w:tcW w:w="5000" w:type="pct"/>
            <w:gridSpan w:val="2"/>
            <w:shd w:val="clear" w:color="auto" w:fill="auto"/>
            <w:noWrap w:val="0"/>
            <w:vAlign w:val="center"/>
          </w:tcPr>
          <w:p w14:paraId="11EE750F">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项目负责人：</w:t>
            </w:r>
          </w:p>
        </w:tc>
      </w:tr>
    </w:tbl>
    <w:p w14:paraId="3CC02D40">
      <w:pPr>
        <w:spacing w:line="1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715CCC4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1.开标一览表不得填报选择性报价，否则将作为无效投标；</w:t>
      </w:r>
    </w:p>
    <w:p w14:paraId="3650318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2.开标一览表中报价与投标分项明细报价表中不符时时，以开标一览表为准；</w:t>
      </w:r>
    </w:p>
    <w:p w14:paraId="19E34B98">
      <w:pPr>
        <w:ind w:firstLine="2640"/>
        <w:rPr>
          <w:rFonts w:hint="eastAsia" w:ascii="宋体" w:hAnsi="宋体" w:eastAsia="宋体" w:cs="宋体"/>
          <w:color w:val="auto"/>
          <w:sz w:val="44"/>
          <w:highlight w:val="none"/>
        </w:rPr>
      </w:pPr>
    </w:p>
    <w:p w14:paraId="365BC75B">
      <w:pPr>
        <w:ind w:firstLine="480"/>
        <w:rPr>
          <w:rFonts w:hint="eastAsia" w:ascii="宋体" w:hAnsi="宋体" w:eastAsia="宋体" w:cs="宋体"/>
          <w:color w:val="auto"/>
          <w:sz w:val="24"/>
          <w:highlight w:val="none"/>
        </w:rPr>
      </w:pPr>
    </w:p>
    <w:p w14:paraId="272614B7">
      <w:pPr>
        <w:jc w:val="both"/>
        <w:rPr>
          <w:rFonts w:hint="eastAsia" w:ascii="宋体" w:hAnsi="宋体" w:eastAsia="宋体" w:cs="宋体"/>
          <w:color w:val="auto"/>
          <w:sz w:val="24"/>
          <w:highlight w:val="none"/>
        </w:rPr>
      </w:pPr>
      <w:r>
        <w:rPr>
          <w:rFonts w:hint="eastAsia" w:ascii="宋体" w:hAnsi="宋体" w:eastAsia="宋体" w:cs="宋体"/>
          <w:bCs/>
          <w:color w:val="auto"/>
          <w:sz w:val="24"/>
          <w:highlight w:val="none"/>
        </w:rPr>
        <w:t>供应商名称（公章）：</w:t>
      </w:r>
    </w:p>
    <w:p w14:paraId="7B4B547F">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57D8FF1E">
      <w:pPr>
        <w:jc w:val="center"/>
        <w:rPr>
          <w:rFonts w:hint="eastAsia" w:ascii="宋体" w:hAnsi="宋体" w:eastAsia="宋体" w:cs="宋体"/>
          <w:b/>
          <w:color w:val="auto"/>
          <w:sz w:val="32"/>
          <w:szCs w:val="32"/>
          <w:highlight w:val="none"/>
        </w:rPr>
      </w:pPr>
    </w:p>
    <w:p w14:paraId="309006CE">
      <w:pPr>
        <w:pStyle w:val="31"/>
        <w:spacing w:beforeAutospacing="0" w:afterAutospacing="0"/>
        <w:jc w:val="both"/>
        <w:rPr>
          <w:rFonts w:hint="eastAsia" w:ascii="宋体" w:hAnsi="宋体" w:eastAsia="宋体" w:cs="宋体"/>
          <w:color w:val="auto"/>
          <w:highlight w:val="none"/>
        </w:rPr>
      </w:pPr>
    </w:p>
    <w:p w14:paraId="2B6D1A33">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1DD95B00">
      <w:pPr>
        <w:widowControl/>
        <w:spacing w:before="50" w:after="50"/>
        <w:jc w:val="center"/>
        <w:rPr>
          <w:rFonts w:hint="eastAsia" w:ascii="宋体" w:hAnsi="宋体" w:eastAsia="宋体" w:cs="宋体"/>
          <w:color w:val="auto"/>
          <w:sz w:val="24"/>
          <w:highlight w:val="none"/>
        </w:rPr>
      </w:pPr>
      <w:r>
        <w:rPr>
          <w:rFonts w:hint="eastAsia" w:ascii="宋体" w:hAnsi="宋体" w:eastAsia="宋体" w:cs="宋体"/>
          <w:color w:val="auto"/>
          <w:highlight w:val="none"/>
        </w:rPr>
        <w:tab/>
      </w:r>
      <w:r>
        <w:rPr>
          <w:rFonts w:hint="eastAsia" w:ascii="宋体" w:hAnsi="宋体" w:eastAsia="宋体" w:cs="宋体"/>
          <w:b/>
          <w:bCs/>
          <w:color w:val="auto"/>
          <w:sz w:val="32"/>
          <w:szCs w:val="32"/>
          <w:highlight w:val="none"/>
        </w:rPr>
        <w:t>十六、技术方案、服务承诺、培训承诺等</w:t>
      </w:r>
    </w:p>
    <w:p w14:paraId="74FBEDAB">
      <w:pPr>
        <w:pStyle w:val="31"/>
        <w:spacing w:beforeAutospacing="0" w:afterAutospacing="0"/>
        <w:jc w:val="center"/>
        <w:rPr>
          <w:rFonts w:hint="eastAsia" w:ascii="宋体" w:hAnsi="宋体" w:eastAsia="宋体" w:cs="宋体"/>
          <w:b/>
          <w:color w:val="auto"/>
          <w:sz w:val="32"/>
          <w:szCs w:val="32"/>
          <w:highlight w:val="none"/>
        </w:rPr>
      </w:pPr>
    </w:p>
    <w:p w14:paraId="60858EC3">
      <w:pPr>
        <w:pStyle w:val="31"/>
        <w:spacing w:beforeAutospacing="0" w:afterAutospacing="0"/>
        <w:jc w:val="center"/>
        <w:rPr>
          <w:rFonts w:hint="eastAsia" w:ascii="宋体" w:hAnsi="宋体" w:eastAsia="宋体" w:cs="宋体"/>
          <w:b/>
          <w:color w:val="auto"/>
          <w:sz w:val="32"/>
          <w:szCs w:val="32"/>
          <w:highlight w:val="none"/>
        </w:rPr>
      </w:pPr>
    </w:p>
    <w:p w14:paraId="0CCA1617">
      <w:pPr>
        <w:pStyle w:val="31"/>
        <w:spacing w:beforeAutospacing="0" w:afterAutospacing="0"/>
        <w:jc w:val="center"/>
        <w:rPr>
          <w:rFonts w:hint="eastAsia" w:ascii="宋体" w:hAnsi="宋体" w:eastAsia="宋体" w:cs="宋体"/>
          <w:b/>
          <w:color w:val="auto"/>
          <w:sz w:val="32"/>
          <w:szCs w:val="32"/>
          <w:highlight w:val="none"/>
        </w:rPr>
      </w:pPr>
    </w:p>
    <w:p w14:paraId="75B55B22">
      <w:pPr>
        <w:pStyle w:val="31"/>
        <w:spacing w:beforeAutospacing="0" w:afterAutospacing="0"/>
        <w:jc w:val="center"/>
        <w:rPr>
          <w:rFonts w:hint="eastAsia" w:ascii="宋体" w:hAnsi="宋体" w:eastAsia="宋体" w:cs="宋体"/>
          <w:b/>
          <w:color w:val="auto"/>
          <w:sz w:val="32"/>
          <w:szCs w:val="32"/>
          <w:highlight w:val="none"/>
        </w:rPr>
      </w:pPr>
    </w:p>
    <w:p w14:paraId="42ECFA62">
      <w:pPr>
        <w:pStyle w:val="31"/>
        <w:spacing w:beforeAutospacing="0" w:afterAutospacing="0"/>
        <w:jc w:val="center"/>
        <w:rPr>
          <w:rFonts w:hint="eastAsia" w:ascii="宋体" w:hAnsi="宋体" w:eastAsia="宋体" w:cs="宋体"/>
          <w:b/>
          <w:color w:val="auto"/>
          <w:sz w:val="32"/>
          <w:szCs w:val="32"/>
          <w:highlight w:val="none"/>
        </w:rPr>
      </w:pPr>
    </w:p>
    <w:p w14:paraId="62B43FFE">
      <w:pPr>
        <w:pStyle w:val="31"/>
        <w:spacing w:beforeAutospacing="0" w:afterAutospacing="0"/>
        <w:jc w:val="center"/>
        <w:rPr>
          <w:rFonts w:hint="eastAsia" w:ascii="宋体" w:hAnsi="宋体" w:eastAsia="宋体" w:cs="宋体"/>
          <w:b/>
          <w:color w:val="auto"/>
          <w:sz w:val="32"/>
          <w:szCs w:val="32"/>
          <w:highlight w:val="none"/>
        </w:rPr>
      </w:pPr>
    </w:p>
    <w:p w14:paraId="38EA7E12">
      <w:pPr>
        <w:pStyle w:val="31"/>
        <w:spacing w:beforeAutospacing="0" w:afterAutospacing="0"/>
        <w:jc w:val="center"/>
        <w:rPr>
          <w:rFonts w:hint="eastAsia" w:ascii="宋体" w:hAnsi="宋体" w:eastAsia="宋体" w:cs="宋体"/>
          <w:b/>
          <w:color w:val="auto"/>
          <w:sz w:val="32"/>
          <w:szCs w:val="32"/>
          <w:highlight w:val="none"/>
        </w:rPr>
      </w:pPr>
    </w:p>
    <w:p w14:paraId="2B49A23A">
      <w:pPr>
        <w:pStyle w:val="31"/>
        <w:spacing w:beforeAutospacing="0" w:afterAutospacing="0"/>
        <w:jc w:val="center"/>
        <w:rPr>
          <w:rFonts w:hint="eastAsia" w:ascii="宋体" w:hAnsi="宋体" w:eastAsia="宋体" w:cs="宋体"/>
          <w:b/>
          <w:color w:val="auto"/>
          <w:sz w:val="32"/>
          <w:szCs w:val="32"/>
          <w:highlight w:val="none"/>
        </w:rPr>
      </w:pPr>
    </w:p>
    <w:p w14:paraId="3F5C7779">
      <w:pPr>
        <w:pStyle w:val="31"/>
        <w:spacing w:beforeAutospacing="0" w:afterAutospacing="0"/>
        <w:jc w:val="center"/>
        <w:rPr>
          <w:rFonts w:hint="eastAsia" w:ascii="宋体" w:hAnsi="宋体" w:eastAsia="宋体" w:cs="宋体"/>
          <w:b/>
          <w:color w:val="auto"/>
          <w:sz w:val="32"/>
          <w:szCs w:val="32"/>
          <w:highlight w:val="none"/>
        </w:rPr>
      </w:pPr>
    </w:p>
    <w:p w14:paraId="102C3658">
      <w:pPr>
        <w:pStyle w:val="31"/>
        <w:spacing w:beforeAutospacing="0" w:afterAutospacing="0"/>
        <w:jc w:val="center"/>
        <w:rPr>
          <w:rFonts w:hint="eastAsia" w:ascii="宋体" w:hAnsi="宋体" w:eastAsia="宋体" w:cs="宋体"/>
          <w:b/>
          <w:color w:val="auto"/>
          <w:sz w:val="32"/>
          <w:szCs w:val="32"/>
          <w:highlight w:val="none"/>
        </w:rPr>
      </w:pPr>
    </w:p>
    <w:p w14:paraId="693DB24C">
      <w:pPr>
        <w:pStyle w:val="31"/>
        <w:spacing w:beforeAutospacing="0" w:afterAutospacing="0"/>
        <w:jc w:val="center"/>
        <w:rPr>
          <w:rFonts w:hint="eastAsia" w:ascii="宋体" w:hAnsi="宋体" w:eastAsia="宋体" w:cs="宋体"/>
          <w:b/>
          <w:color w:val="auto"/>
          <w:sz w:val="32"/>
          <w:szCs w:val="32"/>
          <w:highlight w:val="none"/>
        </w:rPr>
      </w:pPr>
    </w:p>
    <w:p w14:paraId="5CEF68B0">
      <w:pPr>
        <w:pStyle w:val="31"/>
        <w:spacing w:beforeAutospacing="0" w:afterAutospacing="0"/>
        <w:jc w:val="center"/>
        <w:rPr>
          <w:rFonts w:hint="eastAsia" w:ascii="宋体" w:hAnsi="宋体" w:eastAsia="宋体" w:cs="宋体"/>
          <w:b/>
          <w:color w:val="auto"/>
          <w:sz w:val="32"/>
          <w:szCs w:val="32"/>
          <w:highlight w:val="none"/>
        </w:rPr>
      </w:pPr>
    </w:p>
    <w:p w14:paraId="1805E504">
      <w:pPr>
        <w:pStyle w:val="31"/>
        <w:spacing w:beforeAutospacing="0" w:afterAutospacing="0"/>
        <w:jc w:val="center"/>
        <w:rPr>
          <w:rFonts w:hint="eastAsia" w:ascii="宋体" w:hAnsi="宋体" w:eastAsia="宋体" w:cs="宋体"/>
          <w:b/>
          <w:color w:val="auto"/>
          <w:sz w:val="32"/>
          <w:szCs w:val="32"/>
          <w:highlight w:val="none"/>
        </w:rPr>
      </w:pPr>
    </w:p>
    <w:p w14:paraId="77575328">
      <w:pPr>
        <w:pStyle w:val="31"/>
        <w:spacing w:beforeAutospacing="0" w:afterAutospacing="0"/>
        <w:jc w:val="center"/>
        <w:rPr>
          <w:rFonts w:hint="eastAsia" w:ascii="宋体" w:hAnsi="宋体" w:eastAsia="宋体" w:cs="宋体"/>
          <w:b/>
          <w:color w:val="auto"/>
          <w:sz w:val="32"/>
          <w:szCs w:val="32"/>
          <w:highlight w:val="none"/>
        </w:rPr>
      </w:pPr>
    </w:p>
    <w:p w14:paraId="0D4B01A8">
      <w:pPr>
        <w:pStyle w:val="31"/>
        <w:spacing w:beforeAutospacing="0" w:afterAutospacing="0"/>
        <w:jc w:val="center"/>
        <w:rPr>
          <w:rFonts w:hint="eastAsia" w:ascii="宋体" w:hAnsi="宋体" w:eastAsia="宋体" w:cs="宋体"/>
          <w:b/>
          <w:color w:val="auto"/>
          <w:sz w:val="32"/>
          <w:szCs w:val="32"/>
          <w:highlight w:val="none"/>
        </w:rPr>
      </w:pPr>
    </w:p>
    <w:p w14:paraId="161F1D6F">
      <w:pPr>
        <w:pStyle w:val="31"/>
        <w:spacing w:beforeAutospacing="0" w:afterAutospacing="0"/>
        <w:jc w:val="center"/>
        <w:rPr>
          <w:rFonts w:hint="eastAsia" w:ascii="宋体" w:hAnsi="宋体" w:eastAsia="宋体" w:cs="宋体"/>
          <w:b/>
          <w:color w:val="auto"/>
          <w:sz w:val="32"/>
          <w:szCs w:val="32"/>
          <w:highlight w:val="none"/>
        </w:rPr>
      </w:pPr>
    </w:p>
    <w:p w14:paraId="3D155426">
      <w:pPr>
        <w:pStyle w:val="31"/>
        <w:spacing w:beforeAutospacing="0" w:afterAutospacing="0"/>
        <w:jc w:val="center"/>
        <w:rPr>
          <w:rFonts w:hint="eastAsia" w:ascii="宋体" w:hAnsi="宋体" w:eastAsia="宋体" w:cs="宋体"/>
          <w:b/>
          <w:color w:val="auto"/>
          <w:sz w:val="32"/>
          <w:szCs w:val="32"/>
          <w:highlight w:val="none"/>
        </w:rPr>
      </w:pPr>
    </w:p>
    <w:p w14:paraId="0C39074B">
      <w:pPr>
        <w:pStyle w:val="31"/>
        <w:spacing w:beforeAutospacing="0" w:afterAutospacing="0"/>
        <w:jc w:val="center"/>
        <w:rPr>
          <w:rFonts w:hint="eastAsia" w:ascii="宋体" w:hAnsi="宋体" w:eastAsia="宋体" w:cs="宋体"/>
          <w:b/>
          <w:color w:val="auto"/>
          <w:sz w:val="32"/>
          <w:szCs w:val="32"/>
          <w:highlight w:val="none"/>
        </w:rPr>
      </w:pPr>
    </w:p>
    <w:p w14:paraId="3A6A15B3">
      <w:pPr>
        <w:pStyle w:val="31"/>
        <w:spacing w:beforeAutospacing="0" w:afterAutospacing="0"/>
        <w:jc w:val="center"/>
        <w:rPr>
          <w:rFonts w:hint="eastAsia" w:ascii="宋体" w:hAnsi="宋体" w:eastAsia="宋体" w:cs="宋体"/>
          <w:b/>
          <w:color w:val="auto"/>
          <w:sz w:val="32"/>
          <w:szCs w:val="32"/>
          <w:highlight w:val="none"/>
        </w:rPr>
      </w:pPr>
    </w:p>
    <w:p w14:paraId="49A70FD5">
      <w:pPr>
        <w:pStyle w:val="31"/>
        <w:spacing w:beforeAutospacing="0" w:afterAutospacing="0"/>
        <w:jc w:val="center"/>
        <w:rPr>
          <w:rFonts w:hint="eastAsia" w:ascii="宋体" w:hAnsi="宋体" w:eastAsia="宋体" w:cs="宋体"/>
          <w:b/>
          <w:color w:val="auto"/>
          <w:sz w:val="32"/>
          <w:szCs w:val="32"/>
          <w:highlight w:val="none"/>
        </w:rPr>
      </w:pPr>
    </w:p>
    <w:p w14:paraId="4DD723FE">
      <w:pPr>
        <w:pStyle w:val="31"/>
        <w:spacing w:beforeAutospacing="0" w:afterAutospacing="0"/>
        <w:jc w:val="center"/>
        <w:rPr>
          <w:rFonts w:hint="eastAsia" w:ascii="宋体" w:hAnsi="宋体" w:eastAsia="宋体" w:cs="宋体"/>
          <w:b/>
          <w:color w:val="auto"/>
          <w:sz w:val="32"/>
          <w:szCs w:val="32"/>
          <w:highlight w:val="none"/>
        </w:rPr>
      </w:pPr>
    </w:p>
    <w:p w14:paraId="4A66BA2F">
      <w:pPr>
        <w:pStyle w:val="31"/>
        <w:spacing w:beforeAutospacing="0" w:afterAutospacing="0"/>
        <w:jc w:val="center"/>
        <w:rPr>
          <w:rFonts w:hint="eastAsia" w:ascii="宋体" w:hAnsi="宋体" w:eastAsia="宋体" w:cs="宋体"/>
          <w:b/>
          <w:color w:val="auto"/>
          <w:sz w:val="32"/>
          <w:szCs w:val="32"/>
          <w:highlight w:val="none"/>
        </w:rPr>
      </w:pPr>
    </w:p>
    <w:p w14:paraId="29A40866">
      <w:pPr>
        <w:pStyle w:val="31"/>
        <w:spacing w:beforeAutospacing="0" w:afterAutospacing="0"/>
        <w:jc w:val="center"/>
        <w:rPr>
          <w:rFonts w:hint="eastAsia" w:ascii="宋体" w:hAnsi="宋体" w:eastAsia="宋体" w:cs="宋体"/>
          <w:b/>
          <w:color w:val="auto"/>
          <w:sz w:val="32"/>
          <w:szCs w:val="32"/>
          <w:highlight w:val="none"/>
        </w:rPr>
      </w:pPr>
    </w:p>
    <w:p w14:paraId="6FAA6433">
      <w:pPr>
        <w:pStyle w:val="31"/>
        <w:spacing w:beforeAutospacing="0" w:afterAutospacing="0"/>
        <w:jc w:val="center"/>
        <w:rPr>
          <w:rFonts w:hint="eastAsia" w:ascii="宋体" w:hAnsi="宋体" w:eastAsia="宋体" w:cs="宋体"/>
          <w:b/>
          <w:color w:val="auto"/>
          <w:sz w:val="32"/>
          <w:szCs w:val="32"/>
          <w:highlight w:val="none"/>
        </w:rPr>
      </w:pPr>
    </w:p>
    <w:p w14:paraId="5505D132">
      <w:pPr>
        <w:pStyle w:val="31"/>
        <w:spacing w:beforeAutospacing="0" w:afterAutospacing="0"/>
        <w:jc w:val="center"/>
        <w:rPr>
          <w:rFonts w:hint="eastAsia" w:ascii="宋体" w:hAnsi="宋体" w:eastAsia="宋体" w:cs="宋体"/>
          <w:b/>
          <w:color w:val="auto"/>
          <w:sz w:val="32"/>
          <w:szCs w:val="32"/>
          <w:highlight w:val="none"/>
        </w:rPr>
      </w:pPr>
    </w:p>
    <w:p w14:paraId="6D284D30">
      <w:pPr>
        <w:pStyle w:val="31"/>
        <w:spacing w:beforeAutospacing="0" w:afterAutospacing="0"/>
        <w:jc w:val="center"/>
        <w:rPr>
          <w:rFonts w:hint="eastAsia" w:ascii="宋体" w:hAnsi="宋体" w:eastAsia="宋体" w:cs="宋体"/>
          <w:b/>
          <w:color w:val="auto"/>
          <w:sz w:val="32"/>
          <w:szCs w:val="32"/>
          <w:highlight w:val="none"/>
        </w:rPr>
      </w:pPr>
    </w:p>
    <w:p w14:paraId="2935BC63">
      <w:pPr>
        <w:pStyle w:val="31"/>
        <w:spacing w:beforeAutospacing="0" w:afterAutospacing="0"/>
        <w:jc w:val="center"/>
        <w:rPr>
          <w:rFonts w:hint="eastAsia" w:ascii="宋体" w:hAnsi="宋体" w:eastAsia="宋体" w:cs="宋体"/>
          <w:b/>
          <w:color w:val="auto"/>
          <w:sz w:val="32"/>
          <w:szCs w:val="32"/>
          <w:highlight w:val="none"/>
        </w:rPr>
      </w:pPr>
    </w:p>
    <w:p w14:paraId="34A591D9">
      <w:pPr>
        <w:pStyle w:val="31"/>
        <w:spacing w:beforeAutospacing="0" w:afterAutospacing="0"/>
        <w:jc w:val="center"/>
        <w:rPr>
          <w:rFonts w:hint="eastAsia" w:ascii="宋体" w:hAnsi="宋体" w:eastAsia="宋体" w:cs="宋体"/>
          <w:b/>
          <w:color w:val="auto"/>
          <w:sz w:val="32"/>
          <w:szCs w:val="32"/>
          <w:highlight w:val="none"/>
        </w:rPr>
      </w:pPr>
    </w:p>
    <w:p w14:paraId="31EE4F46">
      <w:pPr>
        <w:pStyle w:val="31"/>
        <w:spacing w:beforeAutospacing="0" w:afterAutospacing="0"/>
        <w:jc w:val="center"/>
        <w:rPr>
          <w:rFonts w:hint="eastAsia" w:ascii="宋体" w:hAnsi="宋体" w:eastAsia="宋体" w:cs="宋体"/>
          <w:b/>
          <w:color w:val="auto"/>
          <w:sz w:val="32"/>
          <w:szCs w:val="32"/>
          <w:highlight w:val="none"/>
        </w:rPr>
      </w:pPr>
    </w:p>
    <w:p w14:paraId="579663A9">
      <w:pPr>
        <w:pStyle w:val="31"/>
        <w:spacing w:beforeAutospacing="0" w:afterAutospacing="0"/>
        <w:jc w:val="center"/>
        <w:rPr>
          <w:rFonts w:hint="eastAsia" w:ascii="宋体" w:hAnsi="宋体" w:eastAsia="宋体" w:cs="宋体"/>
          <w:b/>
          <w:color w:val="auto"/>
          <w:sz w:val="32"/>
          <w:szCs w:val="32"/>
          <w:highlight w:val="none"/>
        </w:rPr>
      </w:pPr>
    </w:p>
    <w:p w14:paraId="05C7CB6E">
      <w:pPr>
        <w:pStyle w:val="31"/>
        <w:spacing w:beforeAutospacing="0" w:afterAutospacing="0"/>
        <w:jc w:val="center"/>
        <w:rPr>
          <w:rFonts w:hint="eastAsia" w:ascii="宋体" w:hAnsi="宋体" w:eastAsia="宋体" w:cs="宋体"/>
          <w:b/>
          <w:color w:val="auto"/>
          <w:sz w:val="32"/>
          <w:szCs w:val="32"/>
          <w:highlight w:val="none"/>
        </w:rPr>
      </w:pPr>
    </w:p>
    <w:p w14:paraId="46B33807">
      <w:pPr>
        <w:pStyle w:val="31"/>
        <w:spacing w:beforeAutospacing="0" w:afterAutospacing="0"/>
        <w:jc w:val="center"/>
        <w:rPr>
          <w:rFonts w:hint="eastAsia" w:ascii="宋体" w:hAnsi="宋体" w:eastAsia="宋体" w:cs="宋体"/>
          <w:b/>
          <w:color w:val="auto"/>
          <w:sz w:val="32"/>
          <w:szCs w:val="32"/>
          <w:highlight w:val="none"/>
        </w:rPr>
      </w:pPr>
    </w:p>
    <w:p w14:paraId="341D2F4E">
      <w:pPr>
        <w:widowControl/>
        <w:spacing w:line="499" w:lineRule="atLeast"/>
        <w:ind w:firstLine="1600"/>
        <w:rPr>
          <w:rFonts w:hint="eastAsia" w:ascii="宋体" w:hAnsi="宋体" w:eastAsia="宋体" w:cs="宋体"/>
          <w:color w:val="auto"/>
          <w:sz w:val="24"/>
          <w:highlight w:val="none"/>
          <w:lang w:eastAsia="zh-CN"/>
        </w:rPr>
      </w:pPr>
      <w:r>
        <w:rPr>
          <w:rFonts w:hint="eastAsia" w:ascii="宋体" w:hAnsi="宋体" w:eastAsia="宋体" w:cs="宋体"/>
          <w:b/>
          <w:bCs/>
          <w:color w:val="auto"/>
          <w:sz w:val="32"/>
          <w:szCs w:val="32"/>
          <w:highlight w:val="none"/>
        </w:rPr>
        <w:t>十七、</w:t>
      </w:r>
      <w:r>
        <w:rPr>
          <w:rFonts w:hint="eastAsia" w:ascii="宋体" w:hAnsi="宋体" w:eastAsia="宋体" w:cs="宋体"/>
          <w:b/>
          <w:bCs/>
          <w:color w:val="auto"/>
          <w:sz w:val="32"/>
          <w:szCs w:val="32"/>
          <w:highlight w:val="none"/>
          <w:lang w:eastAsia="zh-CN"/>
        </w:rPr>
        <w:t>盐城市大丰区政府采购事前信用承诺书</w:t>
      </w:r>
    </w:p>
    <w:p w14:paraId="00E43439">
      <w:pPr>
        <w:widowControl/>
        <w:spacing w:line="499" w:lineRule="atLeast"/>
        <w:ind w:firstLine="640"/>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614693E9">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54CE6E62">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9779886">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7FC7FE5">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p>
    <w:p w14:paraId="12E890D0">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（四）严格遵守即时信息公示规定，及时维护和更新维护和更新盐城市政府采购网中与本单位相关的信息；</w:t>
      </w:r>
    </w:p>
    <w:p w14:paraId="1C3C6CB8">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67E4DC2A">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（六）自觉接受政府、行业组织、社会公众、新闻舆论的监督；</w:t>
      </w:r>
    </w:p>
    <w:p w14:paraId="183ED11F">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22232C2">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（八）本人已认真阅读了上述承诺，并向本单位员工作了宣传教育。</w:t>
      </w:r>
    </w:p>
    <w:p w14:paraId="4C354D7F">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color w:val="auto"/>
          <w:sz w:val="24"/>
          <w:szCs w:val="24"/>
          <w:highlight w:val="none"/>
        </w:rPr>
        <w:t>法定代表人（或者负责人）</w:t>
      </w:r>
      <w:r>
        <w:rPr>
          <w:rFonts w:hint="eastAsia" w:ascii="宋体" w:hAnsi="宋体" w:eastAsia="宋体" w:cs="宋体"/>
          <w:color w:val="auto"/>
          <w:sz w:val="24"/>
          <w:highlight w:val="none"/>
        </w:rPr>
        <w:t>签名：</w:t>
      </w:r>
    </w:p>
    <w:p w14:paraId="08C72B31">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5421922D">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年月日</w:t>
      </w:r>
    </w:p>
    <w:bookmarkEnd w:id="7"/>
    <w:bookmarkEnd w:id="43"/>
    <w:bookmarkEnd w:id="44"/>
    <w:bookmarkEnd w:id="45"/>
    <w:bookmarkEnd w:id="46"/>
    <w:bookmarkEnd w:id="47"/>
    <w:bookmarkEnd w:id="48"/>
    <w:bookmarkEnd w:id="49"/>
    <w:bookmarkEnd w:id="50"/>
    <w:bookmarkEnd w:id="51"/>
    <w:bookmarkEnd w:id="52"/>
    <w:bookmarkEnd w:id="53"/>
    <w:bookmarkEnd w:id="54"/>
    <w:bookmarkEnd w:id="164"/>
    <w:bookmarkEnd w:id="256"/>
    <w:bookmarkEnd w:id="259"/>
    <w:bookmarkEnd w:id="260"/>
    <w:bookmarkEnd w:id="261"/>
    <w:bookmarkEnd w:id="262"/>
    <w:bookmarkEnd w:id="263"/>
    <w:bookmarkEnd w:id="264"/>
    <w:bookmarkEnd w:id="265"/>
    <w:bookmarkEnd w:id="266"/>
    <w:bookmarkEnd w:id="275"/>
    <w:bookmarkEnd w:id="276"/>
    <w:bookmarkEnd w:id="277"/>
    <w:bookmarkEnd w:id="278"/>
    <w:bookmarkEnd w:id="279"/>
    <w:p w14:paraId="3BDD1F59">
      <w:pPr>
        <w:pStyle w:val="31"/>
        <w:spacing w:beforeAutospacing="0" w:afterAutospacing="0"/>
        <w:jc w:val="center"/>
        <w:rPr>
          <w:rFonts w:hint="eastAsia" w:ascii="宋体" w:hAnsi="宋体" w:eastAsia="宋体" w:cs="宋体"/>
          <w:color w:val="auto"/>
          <w:highlight w:val="none"/>
        </w:rPr>
      </w:pPr>
    </w:p>
    <w:p w14:paraId="1FA09E75">
      <w:pPr>
        <w:pStyle w:val="31"/>
        <w:spacing w:beforeAutospacing="0" w:afterAutospacing="0"/>
        <w:jc w:val="center"/>
        <w:rPr>
          <w:rFonts w:hint="eastAsia" w:ascii="宋体" w:hAnsi="宋体" w:eastAsia="宋体" w:cs="宋体"/>
          <w:b/>
          <w:color w:val="auto"/>
          <w:sz w:val="32"/>
          <w:szCs w:val="32"/>
          <w:highlight w:val="none"/>
        </w:rPr>
      </w:pPr>
    </w:p>
    <w:p w14:paraId="55F3EE44">
      <w:pPr>
        <w:pStyle w:val="31"/>
        <w:spacing w:beforeAutospacing="0" w:afterAutospacing="0"/>
        <w:jc w:val="center"/>
        <w:rPr>
          <w:rFonts w:hint="eastAsia" w:ascii="宋体" w:hAnsi="宋体" w:eastAsia="宋体" w:cs="宋体"/>
          <w:b/>
          <w:color w:val="auto"/>
          <w:sz w:val="32"/>
          <w:szCs w:val="32"/>
          <w:highlight w:val="none"/>
        </w:rPr>
      </w:pPr>
    </w:p>
    <w:p w14:paraId="7700EC23">
      <w:pPr>
        <w:pStyle w:val="31"/>
        <w:spacing w:beforeAutospacing="0" w:afterAutospacing="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2A35BA13">
      <w:pPr>
        <w:pStyle w:val="31"/>
        <w:keepNext w:val="0"/>
        <w:keepLines w:val="0"/>
        <w:pageBreakBefore w:val="0"/>
        <w:kinsoku/>
        <w:wordWrap/>
        <w:overflowPunct/>
        <w:topLinePunct w:val="0"/>
        <w:autoSpaceDE/>
        <w:autoSpaceDN/>
        <w:bidi w:val="0"/>
        <w:adjustRightInd/>
        <w:snapToGrid/>
        <w:spacing w:before="290" w:beforeAutospacing="0" w:afterAutospacing="0" w:line="44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一、质疑供应商基本信息</w:t>
      </w:r>
    </w:p>
    <w:p w14:paraId="71E77FFB">
      <w:pPr>
        <w:pStyle w:val="3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28BCD66">
      <w:pPr>
        <w:pStyle w:val="3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74C8D695">
      <w:pPr>
        <w:pStyle w:val="3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3D4F01B">
      <w:pPr>
        <w:pStyle w:val="3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D46F01D">
      <w:pPr>
        <w:pStyle w:val="3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575B4779">
      <w:pPr>
        <w:pStyle w:val="3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15A33D1">
      <w:pPr>
        <w:pStyle w:val="3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74B1E9A">
      <w:pPr>
        <w:pStyle w:val="3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747F8C8">
      <w:pPr>
        <w:pStyle w:val="3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46F1FD9A">
      <w:pPr>
        <w:pStyle w:val="3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二、质疑项目基本情况</w:t>
      </w:r>
    </w:p>
    <w:p w14:paraId="2F4006B0">
      <w:pPr>
        <w:pStyle w:val="3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5E921820">
      <w:pPr>
        <w:pStyle w:val="3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08D5F410">
      <w:pPr>
        <w:pStyle w:val="3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0B7BB8E">
      <w:pPr>
        <w:pStyle w:val="3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2522165D">
      <w:pPr>
        <w:pStyle w:val="3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642576F9">
      <w:pPr>
        <w:pStyle w:val="3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三、质疑事项具体内容</w:t>
      </w:r>
    </w:p>
    <w:p w14:paraId="4DBB46AD">
      <w:pPr>
        <w:pStyle w:val="3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5844EE1F">
      <w:pPr>
        <w:pStyle w:val="31"/>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21E51195">
      <w:pPr>
        <w:pStyle w:val="3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5B0BEEBD">
      <w:pPr>
        <w:pStyle w:val="3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质疑事项2</w:t>
      </w:r>
    </w:p>
    <w:p w14:paraId="4CE2C5E6">
      <w:pPr>
        <w:pStyle w:val="3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w:t>
      </w:r>
    </w:p>
    <w:p w14:paraId="20136D15">
      <w:pPr>
        <w:pStyle w:val="3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348DD3B8">
      <w:pPr>
        <w:pStyle w:val="3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45B9F6B0">
      <w:pPr>
        <w:pStyle w:val="3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54807EF5">
      <w:pPr>
        <w:pStyle w:val="3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highlight w:val="none"/>
        </w:rPr>
      </w:pPr>
      <w:r>
        <w:rPr>
          <w:rFonts w:hint="eastAsia" w:ascii="宋体" w:hAnsi="宋体" w:eastAsia="宋体" w:cs="宋体"/>
          <w:b/>
          <w:color w:val="auto"/>
          <w:highlight w:val="none"/>
        </w:rPr>
        <w:t>质疑函制作说明：</w:t>
      </w:r>
    </w:p>
    <w:p w14:paraId="2DB5BFFE">
      <w:pPr>
        <w:pStyle w:val="31"/>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4E8C94AC">
      <w:pPr>
        <w:pStyle w:val="31"/>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32C561F">
      <w:pPr>
        <w:pStyle w:val="31"/>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26E4B830">
      <w:pPr>
        <w:pStyle w:val="31"/>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2C6F9612">
      <w:pPr>
        <w:pStyle w:val="31"/>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19AB9702">
      <w:pPr>
        <w:pStyle w:val="31"/>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w:t>
      </w:r>
      <w:r>
        <w:rPr>
          <w:rFonts w:hint="eastAsia" w:ascii="宋体" w:hAnsi="宋体" w:eastAsia="宋体" w:cs="宋体"/>
          <w:color w:val="auto"/>
          <w:sz w:val="24"/>
          <w:szCs w:val="24"/>
          <w:highlight w:val="none"/>
        </w:rPr>
        <w:t>法定代表人（或者负责人）</w:t>
      </w:r>
      <w:r>
        <w:rPr>
          <w:rFonts w:hint="eastAsia" w:ascii="宋体" w:hAnsi="宋体" w:eastAsia="宋体" w:cs="宋体"/>
          <w:color w:val="auto"/>
          <w:highlight w:val="none"/>
        </w:rPr>
        <w:t>、主要负责人，或者其授权代表签字或者盖章，并加盖公章。</w:t>
      </w:r>
    </w:p>
    <w:p w14:paraId="2023B70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sz w:val="21"/>
          <w:szCs w:val="21"/>
        </w:rPr>
      </w:pPr>
    </w:p>
    <w:p w14:paraId="520E869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sz w:val="44"/>
          <w:szCs w:val="44"/>
          <w:highlight w:val="none"/>
        </w:rPr>
      </w:pPr>
    </w:p>
    <w:p w14:paraId="032EBAC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sz w:val="44"/>
          <w:szCs w:val="44"/>
          <w:highlight w:val="none"/>
        </w:rPr>
      </w:pPr>
    </w:p>
    <w:p w14:paraId="3431CB3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sz w:val="44"/>
          <w:szCs w:val="44"/>
          <w:highlight w:val="none"/>
        </w:rPr>
      </w:pPr>
    </w:p>
    <w:p w14:paraId="74919DB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sz w:val="44"/>
          <w:szCs w:val="44"/>
          <w:highlight w:val="none"/>
        </w:rPr>
      </w:pPr>
    </w:p>
    <w:p w14:paraId="43B6F116">
      <w:pPr>
        <w:pStyle w:val="15"/>
        <w:rPr>
          <w:rFonts w:hint="eastAsia" w:ascii="宋体" w:hAnsi="宋体" w:eastAsia="宋体" w:cs="宋体"/>
          <w:color w:val="auto"/>
          <w:sz w:val="44"/>
          <w:szCs w:val="44"/>
          <w:highlight w:val="none"/>
        </w:rPr>
      </w:pPr>
    </w:p>
    <w:p w14:paraId="73D96FF3">
      <w:pPr>
        <w:pStyle w:val="15"/>
        <w:rPr>
          <w:rFonts w:hint="eastAsia" w:ascii="宋体" w:hAnsi="宋体" w:eastAsia="宋体" w:cs="宋体"/>
          <w:color w:val="auto"/>
          <w:sz w:val="44"/>
          <w:szCs w:val="44"/>
          <w:highlight w:val="none"/>
        </w:rPr>
      </w:pPr>
    </w:p>
    <w:p w14:paraId="0E11FA3D">
      <w:pPr>
        <w:pStyle w:val="15"/>
        <w:rPr>
          <w:rFonts w:hint="eastAsia" w:ascii="宋体" w:hAnsi="宋体" w:eastAsia="宋体" w:cs="宋体"/>
          <w:color w:val="auto"/>
          <w:sz w:val="44"/>
          <w:szCs w:val="44"/>
          <w:highlight w:val="none"/>
        </w:rPr>
      </w:pPr>
    </w:p>
    <w:p w14:paraId="5AFFBB9D">
      <w:pPr>
        <w:pStyle w:val="15"/>
        <w:rPr>
          <w:rFonts w:hint="eastAsia" w:ascii="宋体" w:hAnsi="宋体" w:eastAsia="宋体" w:cs="宋体"/>
          <w:color w:val="auto"/>
          <w:sz w:val="44"/>
          <w:szCs w:val="44"/>
          <w:highlight w:val="none"/>
        </w:rPr>
      </w:pPr>
    </w:p>
    <w:p w14:paraId="0196B368">
      <w:pPr>
        <w:pStyle w:val="15"/>
        <w:rPr>
          <w:rFonts w:hint="eastAsia" w:ascii="宋体" w:hAnsi="宋体" w:eastAsia="宋体" w:cs="宋体"/>
          <w:color w:val="auto"/>
          <w:sz w:val="44"/>
          <w:szCs w:val="44"/>
          <w:highlight w:val="none"/>
        </w:rPr>
      </w:pPr>
    </w:p>
    <w:p w14:paraId="4512F71F">
      <w:pPr>
        <w:pStyle w:val="15"/>
        <w:rPr>
          <w:rFonts w:hint="eastAsia" w:ascii="宋体" w:hAnsi="宋体" w:eastAsia="宋体" w:cs="宋体"/>
          <w:color w:val="auto"/>
          <w:sz w:val="44"/>
          <w:szCs w:val="44"/>
          <w:highlight w:val="none"/>
        </w:rPr>
      </w:pPr>
    </w:p>
    <w:p w14:paraId="22FF0A81">
      <w:pPr>
        <w:pStyle w:val="15"/>
        <w:rPr>
          <w:rFonts w:hint="eastAsia" w:ascii="宋体" w:hAnsi="宋体" w:eastAsia="宋体" w:cs="宋体"/>
          <w:color w:val="auto"/>
          <w:sz w:val="44"/>
          <w:szCs w:val="44"/>
          <w:highlight w:val="none"/>
        </w:rPr>
      </w:pPr>
    </w:p>
    <w:p w14:paraId="6A2EED62">
      <w:pPr>
        <w:pStyle w:val="15"/>
        <w:rPr>
          <w:rFonts w:hint="eastAsia" w:ascii="宋体" w:hAnsi="宋体" w:eastAsia="宋体" w:cs="宋体"/>
          <w:color w:val="auto"/>
          <w:sz w:val="44"/>
          <w:szCs w:val="44"/>
          <w:highlight w:val="none"/>
        </w:rPr>
      </w:pPr>
    </w:p>
    <w:p w14:paraId="583420E1">
      <w:pPr>
        <w:pStyle w:val="15"/>
        <w:rPr>
          <w:rFonts w:hint="eastAsia" w:ascii="宋体" w:hAnsi="宋体" w:eastAsia="宋体" w:cs="宋体"/>
          <w:color w:val="auto"/>
          <w:sz w:val="44"/>
          <w:szCs w:val="44"/>
          <w:highlight w:val="none"/>
        </w:rPr>
      </w:pPr>
    </w:p>
    <w:p w14:paraId="78657AA9">
      <w:pPr>
        <w:pStyle w:val="15"/>
        <w:rPr>
          <w:rFonts w:hint="eastAsia" w:ascii="宋体" w:hAnsi="宋体" w:eastAsia="宋体" w:cs="宋体"/>
          <w:color w:val="auto"/>
          <w:sz w:val="44"/>
          <w:szCs w:val="44"/>
          <w:highlight w:val="none"/>
        </w:rPr>
      </w:pPr>
    </w:p>
    <w:p w14:paraId="2E435FAD">
      <w:pPr>
        <w:pStyle w:val="15"/>
        <w:rPr>
          <w:rFonts w:hint="eastAsia" w:ascii="宋体" w:hAnsi="宋体" w:eastAsia="宋体" w:cs="宋体"/>
          <w:color w:val="auto"/>
          <w:sz w:val="44"/>
          <w:szCs w:val="44"/>
          <w:highlight w:val="none"/>
        </w:rPr>
      </w:pPr>
    </w:p>
    <w:p w14:paraId="5EEAD27E">
      <w:pPr>
        <w:pStyle w:val="15"/>
        <w:rPr>
          <w:rFonts w:hint="eastAsia" w:ascii="宋体" w:hAnsi="宋体" w:eastAsia="宋体" w:cs="宋体"/>
          <w:color w:val="auto"/>
          <w:sz w:val="44"/>
          <w:szCs w:val="44"/>
          <w:highlight w:val="none"/>
        </w:rPr>
      </w:pPr>
    </w:p>
    <w:p w14:paraId="4DB7722F">
      <w:pPr>
        <w:pStyle w:val="15"/>
        <w:rPr>
          <w:rFonts w:hint="eastAsia" w:ascii="宋体" w:hAnsi="宋体" w:eastAsia="宋体" w:cs="宋体"/>
          <w:color w:val="auto"/>
          <w:sz w:val="44"/>
          <w:szCs w:val="44"/>
          <w:highlight w:val="none"/>
        </w:rPr>
      </w:pPr>
    </w:p>
    <w:p w14:paraId="42F387DC">
      <w:pPr>
        <w:pStyle w:val="15"/>
        <w:rPr>
          <w:rFonts w:hint="eastAsia" w:ascii="宋体" w:hAnsi="宋体" w:eastAsia="宋体" w:cs="宋体"/>
          <w:color w:val="auto"/>
          <w:sz w:val="44"/>
          <w:szCs w:val="44"/>
          <w:highlight w:val="none"/>
        </w:rPr>
      </w:pPr>
    </w:p>
    <w:p w14:paraId="7AD46709">
      <w:pPr>
        <w:pStyle w:val="15"/>
        <w:rPr>
          <w:rFonts w:hint="eastAsia" w:ascii="宋体" w:hAnsi="宋体" w:eastAsia="宋体" w:cs="宋体"/>
          <w:color w:val="auto"/>
          <w:sz w:val="44"/>
          <w:szCs w:val="44"/>
          <w:highlight w:val="none"/>
        </w:rPr>
      </w:pPr>
    </w:p>
    <w:p w14:paraId="34B54B6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sz w:val="44"/>
          <w:szCs w:val="44"/>
          <w:highlight w:val="none"/>
        </w:rPr>
      </w:pPr>
      <w:r>
        <w:rPr>
          <w:rFonts w:hint="eastAsia" w:ascii="宋体" w:hAnsi="宋体" w:eastAsia="宋体" w:cs="宋体"/>
          <w:b/>
          <w:bCs/>
          <w:color w:val="auto"/>
          <w:sz w:val="44"/>
        </w:rPr>
        <w:t>政府采购合同履约验收书（参考格式）</w:t>
      </w:r>
    </w:p>
    <w:p w14:paraId="509AF566">
      <w:pPr>
        <w:pBdr>
          <w:top w:val="none" w:color="000000" w:sz="0" w:space="0"/>
          <w:left w:val="none" w:color="000000" w:sz="0" w:space="0"/>
          <w:bottom w:val="none" w:color="000000" w:sz="0" w:space="0"/>
          <w:right w:val="none" w:color="000000" w:sz="0" w:space="0"/>
        </w:pBdr>
        <w:spacing w:before="0" w:after="0" w:line="559" w:lineRule="atLeast"/>
        <w:ind w:left="0" w:right="0" w:firstLine="600"/>
        <w:rPr>
          <w:rFonts w:hint="eastAsia" w:ascii="宋体" w:hAnsi="宋体" w:eastAsia="宋体" w:cs="宋体"/>
          <w:color w:val="auto"/>
        </w:rPr>
      </w:pPr>
      <w:r>
        <w:rPr>
          <w:rFonts w:hint="eastAsia" w:ascii="宋体" w:hAnsi="宋体" w:eastAsia="宋体" w:cs="宋体"/>
          <w:color w:val="auto"/>
          <w:sz w:val="21"/>
        </w:rPr>
        <w:t>根据政府采购合同（编号：）的约定，我单位组织对</w:t>
      </w:r>
      <w:r>
        <w:rPr>
          <w:rFonts w:hint="eastAsia" w:ascii="宋体" w:hAnsi="宋体" w:eastAsia="宋体" w:cs="宋体"/>
          <w:color w:val="auto"/>
          <w:sz w:val="21"/>
          <w:u w:val="single"/>
        </w:rPr>
        <w:t>（项目名称）</w:t>
      </w:r>
      <w:r>
        <w:rPr>
          <w:rFonts w:hint="eastAsia" w:ascii="宋体" w:hAnsi="宋体" w:eastAsia="宋体" w:cs="宋体"/>
          <w:color w:val="auto"/>
          <w:sz w:val="21"/>
        </w:rPr>
        <w:t>项目中标（成交）供应商</w:t>
      </w:r>
      <w:r>
        <w:rPr>
          <w:rFonts w:hint="eastAsia" w:ascii="宋体" w:hAnsi="宋体" w:eastAsia="宋体" w:cs="宋体"/>
          <w:color w:val="auto"/>
          <w:sz w:val="21"/>
          <w:u w:val="single"/>
        </w:rPr>
        <w:t>（公司名称）</w:t>
      </w:r>
      <w:r>
        <w:rPr>
          <w:rFonts w:hint="eastAsia" w:ascii="宋体" w:hAnsi="宋体" w:eastAsia="宋体" w:cs="宋体"/>
          <w:color w:val="auto"/>
          <w:sz w:val="21"/>
        </w:rPr>
        <w:t>提供的货物（工程、服务）进行了履约验收，验收情况如下：</w:t>
      </w:r>
    </w:p>
    <w:tbl>
      <w:tblPr>
        <w:tblStyle w:val="35"/>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978"/>
        <w:gridCol w:w="3161"/>
        <w:gridCol w:w="2015"/>
        <w:gridCol w:w="2804"/>
      </w:tblGrid>
      <w:tr w14:paraId="0E161A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993"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D480E5C">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rPr>
            </w:pPr>
            <w:r>
              <w:rPr>
                <w:rFonts w:hint="eastAsia" w:ascii="宋体" w:hAnsi="宋体" w:eastAsia="宋体" w:cs="宋体"/>
                <w:color w:val="auto"/>
                <w:sz w:val="21"/>
              </w:rPr>
              <w:t>项目名称</w:t>
            </w:r>
          </w:p>
        </w:tc>
        <w:tc>
          <w:tcPr>
            <w:tcW w:w="1587" w:type="pct"/>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D9147FC">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rPr>
            </w:pPr>
            <w:r>
              <w:rPr>
                <w:rFonts w:hint="eastAsia" w:ascii="宋体" w:hAnsi="宋体" w:eastAsia="宋体" w:cs="宋体"/>
                <w:color w:val="auto"/>
                <w:sz w:val="21"/>
              </w:rPr>
              <w:t> </w:t>
            </w:r>
          </w:p>
        </w:tc>
        <w:tc>
          <w:tcPr>
            <w:tcW w:w="1012" w:type="pct"/>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3FB8030">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rPr>
            </w:pPr>
            <w:r>
              <w:rPr>
                <w:rFonts w:hint="eastAsia" w:ascii="宋体" w:hAnsi="宋体" w:eastAsia="宋体" w:cs="宋体"/>
                <w:color w:val="auto"/>
                <w:sz w:val="21"/>
              </w:rPr>
              <w:t>项目地点</w:t>
            </w:r>
          </w:p>
        </w:tc>
        <w:tc>
          <w:tcPr>
            <w:tcW w:w="1406" w:type="pct"/>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9B8B989">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rPr>
            </w:pPr>
            <w:r>
              <w:rPr>
                <w:rFonts w:hint="eastAsia" w:ascii="宋体" w:hAnsi="宋体" w:eastAsia="宋体" w:cs="宋体"/>
                <w:color w:val="auto"/>
                <w:sz w:val="21"/>
              </w:rPr>
              <w:t> </w:t>
            </w:r>
          </w:p>
        </w:tc>
      </w:tr>
      <w:tr w14:paraId="6552AC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993"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8AFD3F">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rPr>
            </w:pPr>
            <w:r>
              <w:rPr>
                <w:rFonts w:hint="eastAsia" w:ascii="宋体" w:hAnsi="宋体" w:eastAsia="宋体" w:cs="宋体"/>
                <w:color w:val="auto"/>
                <w:sz w:val="21"/>
              </w:rPr>
              <w:t>预算金额</w:t>
            </w:r>
          </w:p>
        </w:tc>
        <w:tc>
          <w:tcPr>
            <w:tcW w:w="1587"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B6D2FEA">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rPr>
            </w:pPr>
            <w:r>
              <w:rPr>
                <w:rFonts w:hint="eastAsia" w:ascii="宋体" w:hAnsi="宋体" w:eastAsia="宋体" w:cs="宋体"/>
                <w:color w:val="auto"/>
                <w:sz w:val="21"/>
              </w:rPr>
              <w:t> </w:t>
            </w:r>
          </w:p>
        </w:tc>
        <w:tc>
          <w:tcPr>
            <w:tcW w:w="1012" w:type="pct"/>
            <w:tcBorders>
              <w:top w:val="nil"/>
              <w:left w:val="nil"/>
              <w:bottom w:val="nil"/>
              <w:right w:val="nil"/>
            </w:tcBorders>
            <w:noWrap w:val="0"/>
            <w:tcMar>
              <w:top w:w="0" w:type="dxa"/>
              <w:left w:w="108" w:type="dxa"/>
              <w:bottom w:w="0" w:type="dxa"/>
              <w:right w:w="108" w:type="dxa"/>
            </w:tcMar>
            <w:vAlign w:val="center"/>
          </w:tcPr>
          <w:p w14:paraId="7638C036">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rPr>
            </w:pPr>
            <w:r>
              <w:rPr>
                <w:rFonts w:hint="eastAsia" w:ascii="宋体" w:hAnsi="宋体" w:eastAsia="宋体" w:cs="宋体"/>
                <w:color w:val="auto"/>
                <w:sz w:val="21"/>
              </w:rPr>
              <w:t>承接单位</w:t>
            </w:r>
          </w:p>
        </w:tc>
        <w:tc>
          <w:tcPr>
            <w:tcW w:w="1406"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A64595">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宋体" w:hAnsi="宋体" w:eastAsia="宋体" w:cs="宋体"/>
                <w:color w:val="auto"/>
              </w:rPr>
            </w:pPr>
            <w:r>
              <w:rPr>
                <w:rFonts w:hint="eastAsia" w:ascii="宋体" w:hAnsi="宋体" w:eastAsia="宋体" w:cs="宋体"/>
                <w:color w:val="auto"/>
                <w:sz w:val="21"/>
              </w:rPr>
              <w:t> </w:t>
            </w:r>
          </w:p>
        </w:tc>
      </w:tr>
      <w:tr w14:paraId="20D59B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993"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B1CA0A">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rPr>
            </w:pPr>
            <w:r>
              <w:rPr>
                <w:rFonts w:hint="eastAsia" w:ascii="宋体" w:hAnsi="宋体" w:eastAsia="宋体" w:cs="宋体"/>
                <w:color w:val="auto"/>
                <w:sz w:val="21"/>
              </w:rPr>
              <w:t>合同时间</w:t>
            </w:r>
          </w:p>
        </w:tc>
        <w:tc>
          <w:tcPr>
            <w:tcW w:w="1587"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7ED79E0">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rPr>
            </w:pPr>
            <w:r>
              <w:rPr>
                <w:rFonts w:hint="eastAsia" w:ascii="宋体" w:hAnsi="宋体" w:eastAsia="宋体" w:cs="宋体"/>
                <w:color w:val="auto"/>
                <w:sz w:val="21"/>
              </w:rPr>
              <w:t> </w:t>
            </w:r>
          </w:p>
        </w:tc>
        <w:tc>
          <w:tcPr>
            <w:tcW w:w="1012" w:type="pct"/>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0236A9F">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rPr>
            </w:pPr>
            <w:r>
              <w:rPr>
                <w:rFonts w:hint="eastAsia" w:ascii="宋体" w:hAnsi="宋体" w:eastAsia="宋体" w:cs="宋体"/>
                <w:color w:val="auto"/>
                <w:sz w:val="21"/>
              </w:rPr>
              <w:t>项目开始时间</w:t>
            </w:r>
          </w:p>
        </w:tc>
        <w:tc>
          <w:tcPr>
            <w:tcW w:w="1406"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351D6B1">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rPr>
            </w:pPr>
            <w:r>
              <w:rPr>
                <w:rFonts w:hint="eastAsia" w:ascii="宋体" w:hAnsi="宋体" w:eastAsia="宋体" w:cs="宋体"/>
                <w:color w:val="auto"/>
                <w:sz w:val="21"/>
              </w:rPr>
              <w:t> </w:t>
            </w:r>
          </w:p>
        </w:tc>
      </w:tr>
      <w:tr w14:paraId="1AECEA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993"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03A4F2">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rPr>
            </w:pPr>
            <w:r>
              <w:rPr>
                <w:rFonts w:hint="eastAsia" w:ascii="宋体" w:hAnsi="宋体" w:eastAsia="宋体" w:cs="宋体"/>
                <w:color w:val="auto"/>
                <w:sz w:val="21"/>
              </w:rPr>
              <w:t>项目结束时间</w:t>
            </w:r>
          </w:p>
        </w:tc>
        <w:tc>
          <w:tcPr>
            <w:tcW w:w="1587"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48CDD06">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rPr>
            </w:pPr>
            <w:r>
              <w:rPr>
                <w:rFonts w:hint="eastAsia" w:ascii="宋体" w:hAnsi="宋体" w:eastAsia="宋体" w:cs="宋体"/>
                <w:color w:val="auto"/>
                <w:sz w:val="21"/>
              </w:rPr>
              <w:t> </w:t>
            </w:r>
          </w:p>
        </w:tc>
        <w:tc>
          <w:tcPr>
            <w:tcW w:w="1012"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1B43125">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rPr>
            </w:pPr>
            <w:r>
              <w:rPr>
                <w:rFonts w:hint="eastAsia" w:ascii="宋体" w:hAnsi="宋体" w:eastAsia="宋体" w:cs="宋体"/>
                <w:color w:val="auto"/>
                <w:sz w:val="21"/>
              </w:rPr>
              <w:t>项目联系人</w:t>
            </w:r>
          </w:p>
        </w:tc>
        <w:tc>
          <w:tcPr>
            <w:tcW w:w="1406"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4574B15">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auto"/>
              </w:rPr>
            </w:pPr>
            <w:r>
              <w:rPr>
                <w:rFonts w:hint="eastAsia" w:ascii="宋体" w:hAnsi="宋体" w:eastAsia="宋体" w:cs="宋体"/>
                <w:color w:val="auto"/>
                <w:sz w:val="21"/>
              </w:rPr>
              <w:t> </w:t>
            </w:r>
          </w:p>
        </w:tc>
      </w:tr>
      <w:tr w14:paraId="36240B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899" w:hRule="atLeast"/>
        </w:trPr>
        <w:tc>
          <w:tcPr>
            <w:tcW w:w="5000" w:type="pct"/>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521CFA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rPr>
            </w:pPr>
            <w:r>
              <w:rPr>
                <w:rFonts w:hint="eastAsia" w:ascii="宋体" w:hAnsi="宋体" w:eastAsia="宋体" w:cs="宋体"/>
                <w:b/>
                <w:color w:val="auto"/>
                <w:sz w:val="21"/>
              </w:rPr>
              <w:t>验收情况和验收意见</w:t>
            </w:r>
          </w:p>
          <w:p w14:paraId="326EF45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rPr>
            </w:pPr>
            <w:r>
              <w:rPr>
                <w:rFonts w:hint="eastAsia" w:ascii="宋体" w:hAnsi="宋体" w:eastAsia="宋体" w:cs="宋体"/>
                <w:color w:val="auto"/>
                <w:sz w:val="21"/>
              </w:rPr>
              <w:t>（可另附）</w:t>
            </w:r>
          </w:p>
          <w:p w14:paraId="62CC432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rPr>
            </w:pPr>
            <w:r>
              <w:rPr>
                <w:rFonts w:hint="eastAsia" w:ascii="宋体" w:hAnsi="宋体" w:eastAsia="宋体" w:cs="宋体"/>
                <w:color w:val="auto"/>
                <w:sz w:val="21"/>
              </w:rPr>
              <w:t> </w:t>
            </w:r>
          </w:p>
          <w:p w14:paraId="1171D18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rPr>
            </w:pPr>
            <w:r>
              <w:rPr>
                <w:rFonts w:hint="eastAsia" w:ascii="宋体" w:hAnsi="宋体" w:eastAsia="宋体" w:cs="宋体"/>
                <w:color w:val="auto"/>
                <w:sz w:val="21"/>
              </w:rPr>
              <w:t> </w:t>
            </w:r>
          </w:p>
          <w:p w14:paraId="4BF2F3E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rPr>
            </w:pPr>
          </w:p>
          <w:p w14:paraId="6D1C46E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rPr>
            </w:pPr>
            <w:r>
              <w:rPr>
                <w:rFonts w:hint="eastAsia" w:ascii="宋体" w:hAnsi="宋体" w:eastAsia="宋体" w:cs="宋体"/>
                <w:color w:val="auto"/>
                <w:sz w:val="21"/>
              </w:rPr>
              <w:t> </w:t>
            </w:r>
          </w:p>
          <w:p w14:paraId="45561865">
            <w:pPr>
              <w:pBdr>
                <w:top w:val="none" w:color="000000" w:sz="0" w:space="0"/>
                <w:left w:val="none" w:color="000000" w:sz="0" w:space="0"/>
                <w:bottom w:val="none" w:color="000000" w:sz="0" w:space="0"/>
                <w:right w:val="none" w:color="000000" w:sz="0" w:space="0"/>
              </w:pBdr>
              <w:spacing w:before="0" w:after="0" w:line="240" w:lineRule="auto"/>
              <w:ind w:left="0" w:right="0" w:firstLine="420"/>
              <w:jc w:val="both"/>
              <w:rPr>
                <w:rFonts w:hint="eastAsia" w:ascii="宋体" w:hAnsi="宋体" w:eastAsia="宋体" w:cs="宋体"/>
                <w:color w:val="auto"/>
              </w:rPr>
            </w:pPr>
            <w:r>
              <w:rPr>
                <w:rFonts w:hint="eastAsia" w:ascii="宋体" w:hAnsi="宋体" w:eastAsia="宋体" w:cs="宋体"/>
                <w:color w:val="auto"/>
                <w:sz w:val="21"/>
              </w:rPr>
              <w:t> </w:t>
            </w:r>
          </w:p>
        </w:tc>
      </w:tr>
      <w:tr w14:paraId="5D2491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5000" w:type="pct"/>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121EEBF">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rPr>
            </w:pPr>
            <w:r>
              <w:rPr>
                <w:rFonts w:hint="eastAsia" w:ascii="宋体" w:hAnsi="宋体" w:eastAsia="宋体" w:cs="宋体"/>
                <w:color w:val="auto"/>
                <w:sz w:val="21"/>
              </w:rPr>
              <w:t>验收小组（签字）：</w:t>
            </w:r>
          </w:p>
          <w:p w14:paraId="5067F2EB">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rPr>
            </w:pPr>
            <w:r>
              <w:rPr>
                <w:rFonts w:hint="eastAsia" w:ascii="宋体" w:hAnsi="宋体" w:eastAsia="宋体" w:cs="宋体"/>
                <w:color w:val="auto"/>
                <w:sz w:val="21"/>
              </w:rPr>
              <w:t> </w:t>
            </w:r>
          </w:p>
          <w:p w14:paraId="00232870">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rPr>
            </w:pPr>
            <w:r>
              <w:rPr>
                <w:rFonts w:hint="eastAsia" w:ascii="宋体" w:hAnsi="宋体" w:eastAsia="宋体" w:cs="宋体"/>
                <w:color w:val="auto"/>
                <w:sz w:val="21"/>
              </w:rPr>
              <w:t> </w:t>
            </w:r>
          </w:p>
          <w:p w14:paraId="32FDA7B3">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rPr>
            </w:pPr>
          </w:p>
          <w:p w14:paraId="55AAD844">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rPr>
            </w:pPr>
            <w:r>
              <w:rPr>
                <w:rFonts w:hint="eastAsia" w:ascii="宋体" w:hAnsi="宋体" w:eastAsia="宋体" w:cs="宋体"/>
                <w:color w:val="auto"/>
              </w:rPr>
              <w:br w:type="textWrapping"/>
            </w:r>
            <w:r>
              <w:rPr>
                <w:rFonts w:hint="eastAsia" w:ascii="宋体" w:hAnsi="宋体" w:eastAsia="宋体" w:cs="宋体"/>
                <w:color w:val="auto"/>
                <w:sz w:val="21"/>
              </w:rPr>
              <w:t xml:space="preserve">                              年    月    日</w:t>
            </w:r>
          </w:p>
        </w:tc>
      </w:tr>
      <w:tr w14:paraId="6804585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5000" w:type="pct"/>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5A256D9">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rPr>
            </w:pPr>
            <w:r>
              <w:rPr>
                <w:rFonts w:hint="eastAsia" w:ascii="宋体" w:hAnsi="宋体" w:eastAsia="宋体" w:cs="宋体"/>
                <w:color w:val="auto"/>
                <w:sz w:val="21"/>
              </w:rPr>
              <w:t>供应商确认意见（签章）：</w:t>
            </w:r>
          </w:p>
          <w:p w14:paraId="264716D3">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rPr>
            </w:pPr>
            <w:r>
              <w:rPr>
                <w:rFonts w:hint="eastAsia" w:ascii="宋体" w:hAnsi="宋体" w:eastAsia="宋体" w:cs="宋体"/>
                <w:color w:val="auto"/>
                <w:sz w:val="21"/>
              </w:rPr>
              <w:t> </w:t>
            </w:r>
          </w:p>
          <w:p w14:paraId="2301E05F">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rPr>
            </w:pPr>
            <w:r>
              <w:rPr>
                <w:rFonts w:hint="eastAsia" w:ascii="宋体" w:hAnsi="宋体" w:eastAsia="宋体" w:cs="宋体"/>
                <w:color w:val="auto"/>
                <w:sz w:val="21"/>
              </w:rPr>
              <w:t> </w:t>
            </w:r>
          </w:p>
          <w:p w14:paraId="3B1FEAC9">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rPr>
            </w:pPr>
            <w:r>
              <w:rPr>
                <w:rFonts w:hint="eastAsia" w:ascii="宋体" w:hAnsi="宋体" w:eastAsia="宋体" w:cs="宋体"/>
                <w:color w:val="auto"/>
              </w:rPr>
              <w:br w:type="textWrapping"/>
            </w:r>
            <w:r>
              <w:rPr>
                <w:rFonts w:hint="eastAsia" w:ascii="宋体" w:hAnsi="宋体" w:eastAsia="宋体" w:cs="宋体"/>
                <w:color w:val="auto"/>
                <w:sz w:val="21"/>
              </w:rPr>
              <w:t xml:space="preserve">                              年    月    日</w:t>
            </w:r>
          </w:p>
        </w:tc>
      </w:tr>
      <w:tr w14:paraId="1AE924B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5000" w:type="pct"/>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702FC63">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rPr>
            </w:pPr>
            <w:r>
              <w:rPr>
                <w:rFonts w:hint="eastAsia" w:ascii="宋体" w:hAnsi="宋体" w:eastAsia="宋体" w:cs="宋体"/>
                <w:color w:val="auto"/>
                <w:sz w:val="21"/>
              </w:rPr>
              <w:t>采购人确认意见（签章）：</w:t>
            </w:r>
          </w:p>
          <w:p w14:paraId="5210477E">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rPr>
            </w:pPr>
            <w:r>
              <w:rPr>
                <w:rFonts w:hint="eastAsia" w:ascii="宋体" w:hAnsi="宋体" w:eastAsia="宋体" w:cs="宋体"/>
                <w:color w:val="auto"/>
                <w:sz w:val="21"/>
              </w:rPr>
              <w:t> </w:t>
            </w:r>
          </w:p>
          <w:p w14:paraId="57706CEB">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rPr>
            </w:pPr>
          </w:p>
          <w:p w14:paraId="5DAA8CFF">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rPr>
            </w:pPr>
          </w:p>
          <w:p w14:paraId="1765D634">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auto"/>
              </w:rPr>
            </w:pPr>
            <w:r>
              <w:rPr>
                <w:rFonts w:hint="eastAsia" w:ascii="宋体" w:hAnsi="宋体" w:eastAsia="宋体" w:cs="宋体"/>
                <w:color w:val="auto"/>
              </w:rPr>
              <w:br w:type="textWrapping"/>
            </w:r>
            <w:r>
              <w:rPr>
                <w:rFonts w:hint="eastAsia" w:ascii="宋体" w:hAnsi="宋体" w:eastAsia="宋体" w:cs="宋体"/>
                <w:color w:val="auto"/>
                <w:sz w:val="21"/>
              </w:rPr>
              <w:t xml:space="preserve">                              年    月    日</w:t>
            </w:r>
          </w:p>
        </w:tc>
      </w:tr>
    </w:tbl>
    <w:p w14:paraId="247380D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rPr>
      </w:pPr>
      <w:r>
        <w:rPr>
          <w:rFonts w:hint="eastAsia" w:ascii="宋体" w:hAnsi="宋体" w:eastAsia="宋体" w:cs="宋体"/>
          <w:color w:val="auto"/>
          <w:sz w:val="21"/>
        </w:rPr>
        <w:t> </w:t>
      </w:r>
    </w:p>
    <w:p w14:paraId="3077F16F">
      <w:pPr>
        <w:pBdr>
          <w:top w:val="none" w:color="000000" w:sz="0" w:space="0"/>
          <w:left w:val="none" w:color="000000" w:sz="0" w:space="0"/>
          <w:bottom w:val="none" w:color="000000" w:sz="0" w:space="0"/>
          <w:right w:val="none" w:color="000000" w:sz="0" w:space="0"/>
        </w:pBdr>
        <w:spacing w:before="240" w:after="240"/>
        <w:ind w:left="0" w:right="0" w:firstLine="0"/>
        <w:rPr>
          <w:rFonts w:hint="eastAsia" w:ascii="宋体" w:hAnsi="宋体" w:eastAsia="宋体" w:cs="宋体"/>
          <w:color w:val="auto"/>
        </w:rPr>
      </w:pPr>
      <w:r>
        <w:rPr>
          <w:rFonts w:hint="eastAsia" w:ascii="宋体" w:hAnsi="宋体" w:eastAsia="宋体" w:cs="宋体"/>
          <w:color w:val="auto"/>
          <w:sz w:val="24"/>
        </w:rPr>
        <w:t> </w:t>
      </w:r>
    </w:p>
    <w:p w14:paraId="07E19F7D">
      <w:pPr>
        <w:pStyle w:val="31"/>
        <w:spacing w:beforeAutospacing="0" w:afterAutospacing="0"/>
        <w:rPr>
          <w:rFonts w:hint="eastAsia" w:ascii="宋体" w:hAnsi="宋体" w:eastAsia="宋体" w:cs="宋体"/>
          <w:color w:val="auto"/>
          <w:highlight w:val="none"/>
        </w:rPr>
      </w:pPr>
    </w:p>
    <w:sectPr>
      <w:pgSz w:w="11906" w:h="16838"/>
      <w:pgMar w:top="1440" w:right="1080" w:bottom="1440" w:left="108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embedRegular r:id="rId1" w:fontKey="{771378B9-C0CF-4DEB-8200-299BADF435A3}"/>
  </w:font>
  <w:font w:name="幼圆">
    <w:panose1 w:val="02010509060101010101"/>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B969B">
    <w:pPr>
      <w:pStyle w:val="2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47C908">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1147C908">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4AAE33">
    <w:pPr>
      <w:pStyle w:val="21"/>
      <w:ind w:firstLine="360"/>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0B2EAA">
                          <w:pPr>
                            <w:pStyle w:val="21"/>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150B2EAA">
                    <w:pPr>
                      <w:pStyle w:val="21"/>
                    </w:pPr>
                    <w:r>
                      <w:fldChar w:fldCharType="begin"/>
                    </w:r>
                    <w:r>
                      <w:instrText xml:space="preserve"> PAGE  \* MERGEFORMAT </w:instrText>
                    </w:r>
                    <w:r>
                      <w:fldChar w:fldCharType="separate"/>
                    </w:r>
                    <w:r>
                      <w:t>21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8B069">
    <w:pPr>
      <w:pStyle w:val="22"/>
      <w:pBdr>
        <w:top w:val="none" w:color="auto" w:sz="0" w:space="0"/>
        <w:left w:val="none" w:color="auto" w:sz="0" w:space="0"/>
        <w:bottom w:val="none" w:color="auto" w:sz="0" w:space="1"/>
        <w:right w:val="none" w:color="auto" w:sz="0" w:space="0"/>
        <w:between w:val="none" w:color="auto" w:sz="0" w:space="0"/>
      </w:pBdr>
      <w:ind w:firstLine="36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0E0CED"/>
    <w:multiLevelType w:val="singleLevel"/>
    <w:tmpl w:val="9D0E0CED"/>
    <w:lvl w:ilvl="0" w:tentative="0">
      <w:start w:val="1"/>
      <w:numFmt w:val="decimal"/>
      <w:suff w:val="space"/>
      <w:lvlText w:val="%1."/>
      <w:lvlJc w:val="left"/>
    </w:lvl>
  </w:abstractNum>
  <w:abstractNum w:abstractNumId="1">
    <w:nsid w:val="346F6D58"/>
    <w:multiLevelType w:val="singleLevel"/>
    <w:tmpl w:val="346F6D58"/>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2MTI1ODI4ZjM5M2MyMmUyOGFkYWZlZGUyOWVjNGUifQ=="/>
  </w:docVars>
  <w:rsids>
    <w:rsidRoot w:val="00000000"/>
    <w:rsid w:val="000A002F"/>
    <w:rsid w:val="001C048E"/>
    <w:rsid w:val="00247343"/>
    <w:rsid w:val="002E01C1"/>
    <w:rsid w:val="006E05BE"/>
    <w:rsid w:val="008813A9"/>
    <w:rsid w:val="00A30274"/>
    <w:rsid w:val="00A65FA9"/>
    <w:rsid w:val="00AD558A"/>
    <w:rsid w:val="00B5443F"/>
    <w:rsid w:val="00BC757B"/>
    <w:rsid w:val="00D23242"/>
    <w:rsid w:val="00E36015"/>
    <w:rsid w:val="00F1191B"/>
    <w:rsid w:val="00F22F9D"/>
    <w:rsid w:val="0123584C"/>
    <w:rsid w:val="01396E1E"/>
    <w:rsid w:val="01647DBA"/>
    <w:rsid w:val="018067FB"/>
    <w:rsid w:val="019978BC"/>
    <w:rsid w:val="01A56033"/>
    <w:rsid w:val="01CD7566"/>
    <w:rsid w:val="01D17056"/>
    <w:rsid w:val="02186A33"/>
    <w:rsid w:val="023870D5"/>
    <w:rsid w:val="02441F1E"/>
    <w:rsid w:val="02500B6C"/>
    <w:rsid w:val="02661E94"/>
    <w:rsid w:val="02A8425B"/>
    <w:rsid w:val="02B81FC4"/>
    <w:rsid w:val="02FC0103"/>
    <w:rsid w:val="03086AA8"/>
    <w:rsid w:val="030B2A3C"/>
    <w:rsid w:val="03265180"/>
    <w:rsid w:val="03653EFA"/>
    <w:rsid w:val="03764359"/>
    <w:rsid w:val="037800D1"/>
    <w:rsid w:val="039842CF"/>
    <w:rsid w:val="03A10CAA"/>
    <w:rsid w:val="03BD5AE4"/>
    <w:rsid w:val="03E33071"/>
    <w:rsid w:val="03EF5EB9"/>
    <w:rsid w:val="04192B56"/>
    <w:rsid w:val="042F4230"/>
    <w:rsid w:val="044C6E68"/>
    <w:rsid w:val="04673937"/>
    <w:rsid w:val="046A643B"/>
    <w:rsid w:val="046C12B8"/>
    <w:rsid w:val="04763EE5"/>
    <w:rsid w:val="047C774D"/>
    <w:rsid w:val="0495080F"/>
    <w:rsid w:val="04AE4EBE"/>
    <w:rsid w:val="04DF1A8A"/>
    <w:rsid w:val="04E470A0"/>
    <w:rsid w:val="04E90B5B"/>
    <w:rsid w:val="053A13B6"/>
    <w:rsid w:val="05467D5B"/>
    <w:rsid w:val="054D1796"/>
    <w:rsid w:val="05847419"/>
    <w:rsid w:val="05971E32"/>
    <w:rsid w:val="05A607FA"/>
    <w:rsid w:val="05AA2098"/>
    <w:rsid w:val="05D37841"/>
    <w:rsid w:val="05D830A9"/>
    <w:rsid w:val="05F94DCD"/>
    <w:rsid w:val="05F96B7B"/>
    <w:rsid w:val="064918B1"/>
    <w:rsid w:val="06530F0A"/>
    <w:rsid w:val="067B57E2"/>
    <w:rsid w:val="06924A73"/>
    <w:rsid w:val="069A035E"/>
    <w:rsid w:val="06D7510F"/>
    <w:rsid w:val="071A324D"/>
    <w:rsid w:val="071A7A34"/>
    <w:rsid w:val="07395465"/>
    <w:rsid w:val="074327A4"/>
    <w:rsid w:val="074A1D85"/>
    <w:rsid w:val="07766D28"/>
    <w:rsid w:val="07917CAA"/>
    <w:rsid w:val="07AB20F7"/>
    <w:rsid w:val="07D433FC"/>
    <w:rsid w:val="07EC2E3C"/>
    <w:rsid w:val="07F65A68"/>
    <w:rsid w:val="080812F8"/>
    <w:rsid w:val="08202AE5"/>
    <w:rsid w:val="082C148A"/>
    <w:rsid w:val="08537121"/>
    <w:rsid w:val="08626C5A"/>
    <w:rsid w:val="08634780"/>
    <w:rsid w:val="08A41020"/>
    <w:rsid w:val="08A52FEB"/>
    <w:rsid w:val="08C90A87"/>
    <w:rsid w:val="08DF02AB"/>
    <w:rsid w:val="08E21B49"/>
    <w:rsid w:val="08E9737B"/>
    <w:rsid w:val="09173EE8"/>
    <w:rsid w:val="094B3B92"/>
    <w:rsid w:val="096E162E"/>
    <w:rsid w:val="09BF29B7"/>
    <w:rsid w:val="09C15C02"/>
    <w:rsid w:val="0A2F0DBE"/>
    <w:rsid w:val="0A326B00"/>
    <w:rsid w:val="0A584970"/>
    <w:rsid w:val="0A981059"/>
    <w:rsid w:val="0AA3355A"/>
    <w:rsid w:val="0AA52714"/>
    <w:rsid w:val="0AB37C41"/>
    <w:rsid w:val="0AE0030A"/>
    <w:rsid w:val="0AE41BA8"/>
    <w:rsid w:val="0AEC3153"/>
    <w:rsid w:val="0AFA13CC"/>
    <w:rsid w:val="0B073AE9"/>
    <w:rsid w:val="0B416FFB"/>
    <w:rsid w:val="0B5C2086"/>
    <w:rsid w:val="0B705B32"/>
    <w:rsid w:val="0B7C0033"/>
    <w:rsid w:val="0B7D5D15"/>
    <w:rsid w:val="0B7E0A5C"/>
    <w:rsid w:val="0B896BF3"/>
    <w:rsid w:val="0B903360"/>
    <w:rsid w:val="0B957346"/>
    <w:rsid w:val="0BAE5018"/>
    <w:rsid w:val="0BBF6171"/>
    <w:rsid w:val="0BC11EE9"/>
    <w:rsid w:val="0BCF2858"/>
    <w:rsid w:val="0BFF2A12"/>
    <w:rsid w:val="0C213F83"/>
    <w:rsid w:val="0C580AA0"/>
    <w:rsid w:val="0C9B273A"/>
    <w:rsid w:val="0CA14DDD"/>
    <w:rsid w:val="0CA75583"/>
    <w:rsid w:val="0CA84E57"/>
    <w:rsid w:val="0CD143AE"/>
    <w:rsid w:val="0CEA5470"/>
    <w:rsid w:val="0CFB142B"/>
    <w:rsid w:val="0D0C188A"/>
    <w:rsid w:val="0D230EFA"/>
    <w:rsid w:val="0D444B80"/>
    <w:rsid w:val="0D4728C2"/>
    <w:rsid w:val="0D562B05"/>
    <w:rsid w:val="0D870F11"/>
    <w:rsid w:val="0DA9532B"/>
    <w:rsid w:val="0DAE649D"/>
    <w:rsid w:val="0DB76539"/>
    <w:rsid w:val="0DBD420A"/>
    <w:rsid w:val="0DC43F13"/>
    <w:rsid w:val="0DD34156"/>
    <w:rsid w:val="0E344BF5"/>
    <w:rsid w:val="0E43308A"/>
    <w:rsid w:val="0E460DCC"/>
    <w:rsid w:val="0E5139F9"/>
    <w:rsid w:val="0E715E49"/>
    <w:rsid w:val="0E87741A"/>
    <w:rsid w:val="0EA07AC5"/>
    <w:rsid w:val="0EB6385C"/>
    <w:rsid w:val="0EEC1973"/>
    <w:rsid w:val="0EFE3455"/>
    <w:rsid w:val="0F0E18EA"/>
    <w:rsid w:val="0F29227F"/>
    <w:rsid w:val="0F542868"/>
    <w:rsid w:val="0F6C4862"/>
    <w:rsid w:val="0F73260B"/>
    <w:rsid w:val="0F931DEF"/>
    <w:rsid w:val="0FA7589A"/>
    <w:rsid w:val="0FC26D1B"/>
    <w:rsid w:val="0FD50659"/>
    <w:rsid w:val="0FDE1960"/>
    <w:rsid w:val="0FFE195E"/>
    <w:rsid w:val="10093E5F"/>
    <w:rsid w:val="1045133B"/>
    <w:rsid w:val="10516B48"/>
    <w:rsid w:val="105C0433"/>
    <w:rsid w:val="106D0892"/>
    <w:rsid w:val="107240FA"/>
    <w:rsid w:val="10B705CE"/>
    <w:rsid w:val="10C06C14"/>
    <w:rsid w:val="10D34B99"/>
    <w:rsid w:val="10F66AD9"/>
    <w:rsid w:val="110C1E59"/>
    <w:rsid w:val="112C42A9"/>
    <w:rsid w:val="1134315E"/>
    <w:rsid w:val="113849FC"/>
    <w:rsid w:val="115B2DE0"/>
    <w:rsid w:val="11B03A6A"/>
    <w:rsid w:val="11EA3BD2"/>
    <w:rsid w:val="11F36B75"/>
    <w:rsid w:val="120D5E88"/>
    <w:rsid w:val="121216F1"/>
    <w:rsid w:val="123258EF"/>
    <w:rsid w:val="123526C9"/>
    <w:rsid w:val="126B0E01"/>
    <w:rsid w:val="127001C5"/>
    <w:rsid w:val="12AC1431"/>
    <w:rsid w:val="12B207DE"/>
    <w:rsid w:val="12CD5618"/>
    <w:rsid w:val="12D544CC"/>
    <w:rsid w:val="12D90460"/>
    <w:rsid w:val="131046DF"/>
    <w:rsid w:val="13160D6D"/>
    <w:rsid w:val="131D659F"/>
    <w:rsid w:val="132711CC"/>
    <w:rsid w:val="1329732C"/>
    <w:rsid w:val="132C67E2"/>
    <w:rsid w:val="13392CAD"/>
    <w:rsid w:val="13517FF7"/>
    <w:rsid w:val="136441CE"/>
    <w:rsid w:val="138C102F"/>
    <w:rsid w:val="13902DD0"/>
    <w:rsid w:val="13D854DC"/>
    <w:rsid w:val="13F90CA2"/>
    <w:rsid w:val="143A0A8B"/>
    <w:rsid w:val="1458496F"/>
    <w:rsid w:val="14681A9C"/>
    <w:rsid w:val="146D2C0E"/>
    <w:rsid w:val="14812B5E"/>
    <w:rsid w:val="148606DA"/>
    <w:rsid w:val="149E388B"/>
    <w:rsid w:val="14AA3E63"/>
    <w:rsid w:val="14C667C2"/>
    <w:rsid w:val="14C842E9"/>
    <w:rsid w:val="14CA0061"/>
    <w:rsid w:val="14D507B4"/>
    <w:rsid w:val="14DE58BA"/>
    <w:rsid w:val="14EB51BD"/>
    <w:rsid w:val="15035321"/>
    <w:rsid w:val="152E4A94"/>
    <w:rsid w:val="154259A3"/>
    <w:rsid w:val="15BF5528"/>
    <w:rsid w:val="15D66ED9"/>
    <w:rsid w:val="15E50ECA"/>
    <w:rsid w:val="165B2F3A"/>
    <w:rsid w:val="168351A5"/>
    <w:rsid w:val="168626AD"/>
    <w:rsid w:val="16922E00"/>
    <w:rsid w:val="16970417"/>
    <w:rsid w:val="169923E1"/>
    <w:rsid w:val="16992E4F"/>
    <w:rsid w:val="16AE2B1F"/>
    <w:rsid w:val="16D2144F"/>
    <w:rsid w:val="16E01DBD"/>
    <w:rsid w:val="16E42F30"/>
    <w:rsid w:val="17092996"/>
    <w:rsid w:val="1720665E"/>
    <w:rsid w:val="173629A2"/>
    <w:rsid w:val="1740285C"/>
    <w:rsid w:val="174054EB"/>
    <w:rsid w:val="174340FA"/>
    <w:rsid w:val="174A7237"/>
    <w:rsid w:val="175D340E"/>
    <w:rsid w:val="175E2CE2"/>
    <w:rsid w:val="17621340"/>
    <w:rsid w:val="17710C68"/>
    <w:rsid w:val="177B1AE6"/>
    <w:rsid w:val="1780431C"/>
    <w:rsid w:val="178A1D29"/>
    <w:rsid w:val="178A6DBB"/>
    <w:rsid w:val="178D1819"/>
    <w:rsid w:val="17C23271"/>
    <w:rsid w:val="17D12E2B"/>
    <w:rsid w:val="17E44EC0"/>
    <w:rsid w:val="18055854"/>
    <w:rsid w:val="180A2E6A"/>
    <w:rsid w:val="180F7009"/>
    <w:rsid w:val="181635BD"/>
    <w:rsid w:val="18335F1D"/>
    <w:rsid w:val="18344781"/>
    <w:rsid w:val="183A54FD"/>
    <w:rsid w:val="1844637C"/>
    <w:rsid w:val="184B14B9"/>
    <w:rsid w:val="187622AE"/>
    <w:rsid w:val="187C78C4"/>
    <w:rsid w:val="18891FE1"/>
    <w:rsid w:val="188E6525"/>
    <w:rsid w:val="18AB3315"/>
    <w:rsid w:val="18B0756E"/>
    <w:rsid w:val="18D72D4C"/>
    <w:rsid w:val="18E11E1D"/>
    <w:rsid w:val="19353F17"/>
    <w:rsid w:val="193A32DB"/>
    <w:rsid w:val="1991739F"/>
    <w:rsid w:val="19930475"/>
    <w:rsid w:val="1997072D"/>
    <w:rsid w:val="19D159ED"/>
    <w:rsid w:val="1A2C356C"/>
    <w:rsid w:val="1A5605E9"/>
    <w:rsid w:val="1A703458"/>
    <w:rsid w:val="1AA90718"/>
    <w:rsid w:val="1AD31C39"/>
    <w:rsid w:val="1AEF6E14"/>
    <w:rsid w:val="1B351FAC"/>
    <w:rsid w:val="1B391A9C"/>
    <w:rsid w:val="1B3A5814"/>
    <w:rsid w:val="1B8371BB"/>
    <w:rsid w:val="1BB24998"/>
    <w:rsid w:val="1BB750B7"/>
    <w:rsid w:val="1BC10824"/>
    <w:rsid w:val="1BD23C9F"/>
    <w:rsid w:val="1BD30177"/>
    <w:rsid w:val="1BE55780"/>
    <w:rsid w:val="1BE96A15"/>
    <w:rsid w:val="1C493F61"/>
    <w:rsid w:val="1C821221"/>
    <w:rsid w:val="1C827473"/>
    <w:rsid w:val="1C850D11"/>
    <w:rsid w:val="1CA13D9D"/>
    <w:rsid w:val="1CA23671"/>
    <w:rsid w:val="1CA7512B"/>
    <w:rsid w:val="1CB6711D"/>
    <w:rsid w:val="1CCE4466"/>
    <w:rsid w:val="1CDC4DD5"/>
    <w:rsid w:val="1CEE4B08"/>
    <w:rsid w:val="1CEE68B6"/>
    <w:rsid w:val="1CF85987"/>
    <w:rsid w:val="1D05224B"/>
    <w:rsid w:val="1D230C56"/>
    <w:rsid w:val="1D275FCD"/>
    <w:rsid w:val="1D4110DC"/>
    <w:rsid w:val="1D5A3F4C"/>
    <w:rsid w:val="1D682B0D"/>
    <w:rsid w:val="1D8B2357"/>
    <w:rsid w:val="1D9C6312"/>
    <w:rsid w:val="1DA13929"/>
    <w:rsid w:val="1DE026A3"/>
    <w:rsid w:val="1E1660C5"/>
    <w:rsid w:val="1E1862E1"/>
    <w:rsid w:val="1E3B3D7D"/>
    <w:rsid w:val="1E4C7D38"/>
    <w:rsid w:val="1E51534F"/>
    <w:rsid w:val="1E6257AE"/>
    <w:rsid w:val="1E674B72"/>
    <w:rsid w:val="1EA27958"/>
    <w:rsid w:val="1EAA4A5F"/>
    <w:rsid w:val="1EAC07D7"/>
    <w:rsid w:val="1EAF02C7"/>
    <w:rsid w:val="1EB0258C"/>
    <w:rsid w:val="1ED86226"/>
    <w:rsid w:val="1F100D66"/>
    <w:rsid w:val="1F10520A"/>
    <w:rsid w:val="1F86727A"/>
    <w:rsid w:val="1FC3402A"/>
    <w:rsid w:val="1FCA7497"/>
    <w:rsid w:val="20234AC9"/>
    <w:rsid w:val="20586E69"/>
    <w:rsid w:val="206F2120"/>
    <w:rsid w:val="20713A86"/>
    <w:rsid w:val="20B7775D"/>
    <w:rsid w:val="20D364EF"/>
    <w:rsid w:val="2110329F"/>
    <w:rsid w:val="211A5ECC"/>
    <w:rsid w:val="211F1734"/>
    <w:rsid w:val="214967B1"/>
    <w:rsid w:val="21A41C3A"/>
    <w:rsid w:val="21BE719F"/>
    <w:rsid w:val="21DF2B6D"/>
    <w:rsid w:val="21E61BFA"/>
    <w:rsid w:val="220D77DF"/>
    <w:rsid w:val="222C2831"/>
    <w:rsid w:val="22711B4B"/>
    <w:rsid w:val="22B3482A"/>
    <w:rsid w:val="22D84291"/>
    <w:rsid w:val="22DD5403"/>
    <w:rsid w:val="22EC1AEA"/>
    <w:rsid w:val="22F4099F"/>
    <w:rsid w:val="23160915"/>
    <w:rsid w:val="231921B3"/>
    <w:rsid w:val="23290648"/>
    <w:rsid w:val="234A05BF"/>
    <w:rsid w:val="234B7498"/>
    <w:rsid w:val="234E00AF"/>
    <w:rsid w:val="2374041E"/>
    <w:rsid w:val="237613B4"/>
    <w:rsid w:val="23A45F21"/>
    <w:rsid w:val="23B56380"/>
    <w:rsid w:val="23C95987"/>
    <w:rsid w:val="23CE1C31"/>
    <w:rsid w:val="23CE59DC"/>
    <w:rsid w:val="24125580"/>
    <w:rsid w:val="24267834"/>
    <w:rsid w:val="24507029"/>
    <w:rsid w:val="24621EC0"/>
    <w:rsid w:val="2483647E"/>
    <w:rsid w:val="249B5576"/>
    <w:rsid w:val="24A02C63"/>
    <w:rsid w:val="24A65CC9"/>
    <w:rsid w:val="24A759DB"/>
    <w:rsid w:val="24C130F1"/>
    <w:rsid w:val="24F46A34"/>
    <w:rsid w:val="24FD4C8D"/>
    <w:rsid w:val="256242E5"/>
    <w:rsid w:val="25764F02"/>
    <w:rsid w:val="25951FC5"/>
    <w:rsid w:val="25A16BBC"/>
    <w:rsid w:val="25B032A3"/>
    <w:rsid w:val="25E92311"/>
    <w:rsid w:val="25EB6089"/>
    <w:rsid w:val="26025181"/>
    <w:rsid w:val="26094761"/>
    <w:rsid w:val="2611515D"/>
    <w:rsid w:val="263537A8"/>
    <w:rsid w:val="26502390"/>
    <w:rsid w:val="265E2CFF"/>
    <w:rsid w:val="2666570F"/>
    <w:rsid w:val="266A3452"/>
    <w:rsid w:val="26740622"/>
    <w:rsid w:val="2677791D"/>
    <w:rsid w:val="2681079B"/>
    <w:rsid w:val="2683071F"/>
    <w:rsid w:val="26891F7A"/>
    <w:rsid w:val="268F110A"/>
    <w:rsid w:val="26962499"/>
    <w:rsid w:val="26BE379D"/>
    <w:rsid w:val="26C708A4"/>
    <w:rsid w:val="26D0702D"/>
    <w:rsid w:val="26EF3957"/>
    <w:rsid w:val="26F176CF"/>
    <w:rsid w:val="270C5851"/>
    <w:rsid w:val="272C6959"/>
    <w:rsid w:val="274E2D73"/>
    <w:rsid w:val="275F617F"/>
    <w:rsid w:val="276205CD"/>
    <w:rsid w:val="27800A53"/>
    <w:rsid w:val="27AB752D"/>
    <w:rsid w:val="27C923FA"/>
    <w:rsid w:val="27CA2A7A"/>
    <w:rsid w:val="27D52B4D"/>
    <w:rsid w:val="27E234BC"/>
    <w:rsid w:val="27FA25B3"/>
    <w:rsid w:val="2808162B"/>
    <w:rsid w:val="280E42B1"/>
    <w:rsid w:val="28133675"/>
    <w:rsid w:val="28164F13"/>
    <w:rsid w:val="28173165"/>
    <w:rsid w:val="282C4737"/>
    <w:rsid w:val="28414686"/>
    <w:rsid w:val="28B92995"/>
    <w:rsid w:val="28CD27F5"/>
    <w:rsid w:val="28D23530"/>
    <w:rsid w:val="28E27DFA"/>
    <w:rsid w:val="28E374EB"/>
    <w:rsid w:val="29581C87"/>
    <w:rsid w:val="297665B1"/>
    <w:rsid w:val="29852351"/>
    <w:rsid w:val="299B7DC6"/>
    <w:rsid w:val="299D769A"/>
    <w:rsid w:val="29AA0009"/>
    <w:rsid w:val="29B82494"/>
    <w:rsid w:val="29C27101"/>
    <w:rsid w:val="2A0C2A72"/>
    <w:rsid w:val="2A403DF7"/>
    <w:rsid w:val="2A4C2E6E"/>
    <w:rsid w:val="2A4E66D2"/>
    <w:rsid w:val="2A5A558B"/>
    <w:rsid w:val="2A61691A"/>
    <w:rsid w:val="2A6B2928"/>
    <w:rsid w:val="2A7F1C4E"/>
    <w:rsid w:val="2A83307B"/>
    <w:rsid w:val="2AA50EFC"/>
    <w:rsid w:val="2ABD3DAB"/>
    <w:rsid w:val="2AD74E2E"/>
    <w:rsid w:val="2AF358BF"/>
    <w:rsid w:val="2B1971F4"/>
    <w:rsid w:val="2B4E3FCD"/>
    <w:rsid w:val="2B593A95"/>
    <w:rsid w:val="2B595843"/>
    <w:rsid w:val="2B786611"/>
    <w:rsid w:val="2B7B3A0B"/>
    <w:rsid w:val="2BBB02AC"/>
    <w:rsid w:val="2BC2163A"/>
    <w:rsid w:val="2BDD6474"/>
    <w:rsid w:val="2BE05F64"/>
    <w:rsid w:val="2BE315B0"/>
    <w:rsid w:val="2C153E60"/>
    <w:rsid w:val="2C210A56"/>
    <w:rsid w:val="2C22657D"/>
    <w:rsid w:val="2C302A48"/>
    <w:rsid w:val="2C923388"/>
    <w:rsid w:val="2C9A25B7"/>
    <w:rsid w:val="2CED26E7"/>
    <w:rsid w:val="2CF77A09"/>
    <w:rsid w:val="2D0619FA"/>
    <w:rsid w:val="2D480265"/>
    <w:rsid w:val="2D483DC1"/>
    <w:rsid w:val="2D7B609D"/>
    <w:rsid w:val="2D8D3ECA"/>
    <w:rsid w:val="2DCF6290"/>
    <w:rsid w:val="2DF126AA"/>
    <w:rsid w:val="2DFD104F"/>
    <w:rsid w:val="2E165C6D"/>
    <w:rsid w:val="2E687F73"/>
    <w:rsid w:val="2E791CCC"/>
    <w:rsid w:val="2E9A064C"/>
    <w:rsid w:val="2E9B6172"/>
    <w:rsid w:val="2EA96AE1"/>
    <w:rsid w:val="2EBC6814"/>
    <w:rsid w:val="2ECF360C"/>
    <w:rsid w:val="2ED7364E"/>
    <w:rsid w:val="2EDE2C2F"/>
    <w:rsid w:val="2EF21577"/>
    <w:rsid w:val="2EF835C5"/>
    <w:rsid w:val="2F205B87"/>
    <w:rsid w:val="2F4D3910"/>
    <w:rsid w:val="2F650C5A"/>
    <w:rsid w:val="2FC260AC"/>
    <w:rsid w:val="2FC35981"/>
    <w:rsid w:val="2FD656B4"/>
    <w:rsid w:val="30167621"/>
    <w:rsid w:val="30316D8E"/>
    <w:rsid w:val="30493293"/>
    <w:rsid w:val="305B205D"/>
    <w:rsid w:val="306C7DC6"/>
    <w:rsid w:val="306E3B3E"/>
    <w:rsid w:val="30A6152A"/>
    <w:rsid w:val="30AB4D93"/>
    <w:rsid w:val="30B67293"/>
    <w:rsid w:val="30EC4708"/>
    <w:rsid w:val="310444A3"/>
    <w:rsid w:val="313A1C72"/>
    <w:rsid w:val="313C778B"/>
    <w:rsid w:val="31476967"/>
    <w:rsid w:val="315F16D9"/>
    <w:rsid w:val="31603DCF"/>
    <w:rsid w:val="31794069"/>
    <w:rsid w:val="318B24CE"/>
    <w:rsid w:val="31E542D4"/>
    <w:rsid w:val="31E64107"/>
    <w:rsid w:val="321E1594"/>
    <w:rsid w:val="322A0418"/>
    <w:rsid w:val="322F2868"/>
    <w:rsid w:val="323B3865"/>
    <w:rsid w:val="323D7C6C"/>
    <w:rsid w:val="324F5BF1"/>
    <w:rsid w:val="3251196A"/>
    <w:rsid w:val="32951856"/>
    <w:rsid w:val="329655CE"/>
    <w:rsid w:val="32990C1B"/>
    <w:rsid w:val="32AC094E"/>
    <w:rsid w:val="32D22F57"/>
    <w:rsid w:val="32D80E10"/>
    <w:rsid w:val="32DD144F"/>
    <w:rsid w:val="33154745"/>
    <w:rsid w:val="333C6176"/>
    <w:rsid w:val="33425991"/>
    <w:rsid w:val="33460DA3"/>
    <w:rsid w:val="3350487A"/>
    <w:rsid w:val="335F00B6"/>
    <w:rsid w:val="33865643"/>
    <w:rsid w:val="338B0EAB"/>
    <w:rsid w:val="33A87367"/>
    <w:rsid w:val="33B470C2"/>
    <w:rsid w:val="33BB353F"/>
    <w:rsid w:val="33D4015C"/>
    <w:rsid w:val="33D665E2"/>
    <w:rsid w:val="3421711A"/>
    <w:rsid w:val="34367069"/>
    <w:rsid w:val="343E1A7A"/>
    <w:rsid w:val="344572AC"/>
    <w:rsid w:val="347B0F20"/>
    <w:rsid w:val="34AE4E51"/>
    <w:rsid w:val="34D04DC8"/>
    <w:rsid w:val="34D10B40"/>
    <w:rsid w:val="34DB03E2"/>
    <w:rsid w:val="351647A5"/>
    <w:rsid w:val="351F1650"/>
    <w:rsid w:val="352179AD"/>
    <w:rsid w:val="353A0493"/>
    <w:rsid w:val="359305B1"/>
    <w:rsid w:val="35941EE7"/>
    <w:rsid w:val="35AD5109"/>
    <w:rsid w:val="35B75F88"/>
    <w:rsid w:val="35C3492C"/>
    <w:rsid w:val="3603072D"/>
    <w:rsid w:val="36413AA3"/>
    <w:rsid w:val="365D6B2F"/>
    <w:rsid w:val="366003CD"/>
    <w:rsid w:val="36D466C5"/>
    <w:rsid w:val="370A1339"/>
    <w:rsid w:val="37114C9C"/>
    <w:rsid w:val="371234AD"/>
    <w:rsid w:val="3741535C"/>
    <w:rsid w:val="37A4078E"/>
    <w:rsid w:val="37C14E9C"/>
    <w:rsid w:val="37C17446"/>
    <w:rsid w:val="37C53146"/>
    <w:rsid w:val="37DE77FC"/>
    <w:rsid w:val="37FE1C4C"/>
    <w:rsid w:val="38185412"/>
    <w:rsid w:val="38543F62"/>
    <w:rsid w:val="38BE762D"/>
    <w:rsid w:val="38C509BB"/>
    <w:rsid w:val="38E2156D"/>
    <w:rsid w:val="39253208"/>
    <w:rsid w:val="395F671A"/>
    <w:rsid w:val="396B62C2"/>
    <w:rsid w:val="396E1053"/>
    <w:rsid w:val="397A3554"/>
    <w:rsid w:val="399860D0"/>
    <w:rsid w:val="39E11825"/>
    <w:rsid w:val="39E84962"/>
    <w:rsid w:val="3A03179B"/>
    <w:rsid w:val="3A26548A"/>
    <w:rsid w:val="3A281202"/>
    <w:rsid w:val="3A345DF9"/>
    <w:rsid w:val="3A39340F"/>
    <w:rsid w:val="3A3A0F35"/>
    <w:rsid w:val="3A3F02FA"/>
    <w:rsid w:val="3A445910"/>
    <w:rsid w:val="3A4B0824"/>
    <w:rsid w:val="3A543DA5"/>
    <w:rsid w:val="3A5F274A"/>
    <w:rsid w:val="3A7909FE"/>
    <w:rsid w:val="3A791A5E"/>
    <w:rsid w:val="3A8B1791"/>
    <w:rsid w:val="3A970136"/>
    <w:rsid w:val="3AA45A3D"/>
    <w:rsid w:val="3AA82343"/>
    <w:rsid w:val="3ACB69E7"/>
    <w:rsid w:val="3AEC222F"/>
    <w:rsid w:val="3B0532F1"/>
    <w:rsid w:val="3B1C1AE4"/>
    <w:rsid w:val="3B5953EB"/>
    <w:rsid w:val="3B5F6EA5"/>
    <w:rsid w:val="3B62123F"/>
    <w:rsid w:val="3BEE1FD7"/>
    <w:rsid w:val="3BFA4E20"/>
    <w:rsid w:val="3C1A7270"/>
    <w:rsid w:val="3C1C08F2"/>
    <w:rsid w:val="3C2D2B00"/>
    <w:rsid w:val="3C37572C"/>
    <w:rsid w:val="3C447E49"/>
    <w:rsid w:val="3C4B11D8"/>
    <w:rsid w:val="3C5462DE"/>
    <w:rsid w:val="3C5A766D"/>
    <w:rsid w:val="3C990827"/>
    <w:rsid w:val="3CA52FDE"/>
    <w:rsid w:val="3CD80572"/>
    <w:rsid w:val="3CE37662"/>
    <w:rsid w:val="3D023DBB"/>
    <w:rsid w:val="3D0F66A9"/>
    <w:rsid w:val="3D2263DC"/>
    <w:rsid w:val="3D3954D4"/>
    <w:rsid w:val="3D540560"/>
    <w:rsid w:val="3D89020A"/>
    <w:rsid w:val="3DA6700D"/>
    <w:rsid w:val="3DBB238D"/>
    <w:rsid w:val="3DCC459A"/>
    <w:rsid w:val="3DEA67CE"/>
    <w:rsid w:val="3DF8538F"/>
    <w:rsid w:val="3DFC4E7F"/>
    <w:rsid w:val="3DFF227A"/>
    <w:rsid w:val="3E330175"/>
    <w:rsid w:val="3E416D36"/>
    <w:rsid w:val="3E502AD5"/>
    <w:rsid w:val="3E6350CC"/>
    <w:rsid w:val="3E784FAE"/>
    <w:rsid w:val="3E80785E"/>
    <w:rsid w:val="3E9E5F37"/>
    <w:rsid w:val="3EAD1CD6"/>
    <w:rsid w:val="3EB72B54"/>
    <w:rsid w:val="3EF43DA9"/>
    <w:rsid w:val="3F2301EA"/>
    <w:rsid w:val="3F2C52F0"/>
    <w:rsid w:val="3F400D9C"/>
    <w:rsid w:val="3F401A7E"/>
    <w:rsid w:val="3F47037C"/>
    <w:rsid w:val="3F650802"/>
    <w:rsid w:val="3F6C393F"/>
    <w:rsid w:val="3F6F2B7D"/>
    <w:rsid w:val="3F8E5FAB"/>
    <w:rsid w:val="3F8F5151"/>
    <w:rsid w:val="3FAE03FB"/>
    <w:rsid w:val="3FAF1A7E"/>
    <w:rsid w:val="3FC27A03"/>
    <w:rsid w:val="3FD61700"/>
    <w:rsid w:val="3FF43934"/>
    <w:rsid w:val="3FFA0F4B"/>
    <w:rsid w:val="401144E6"/>
    <w:rsid w:val="401B7113"/>
    <w:rsid w:val="402444CA"/>
    <w:rsid w:val="403A3A3D"/>
    <w:rsid w:val="40610FCA"/>
    <w:rsid w:val="408B151C"/>
    <w:rsid w:val="40C03509"/>
    <w:rsid w:val="40D07EFD"/>
    <w:rsid w:val="40DC2D46"/>
    <w:rsid w:val="41926489"/>
    <w:rsid w:val="41A745CF"/>
    <w:rsid w:val="41BD0482"/>
    <w:rsid w:val="41D00D84"/>
    <w:rsid w:val="41D13F2D"/>
    <w:rsid w:val="41DD28D2"/>
    <w:rsid w:val="41DE401F"/>
    <w:rsid w:val="4205007B"/>
    <w:rsid w:val="420C31B7"/>
    <w:rsid w:val="420C765B"/>
    <w:rsid w:val="420F2CA7"/>
    <w:rsid w:val="42187DAE"/>
    <w:rsid w:val="422624CB"/>
    <w:rsid w:val="42336996"/>
    <w:rsid w:val="42402E61"/>
    <w:rsid w:val="42446DF5"/>
    <w:rsid w:val="4246431B"/>
    <w:rsid w:val="42611755"/>
    <w:rsid w:val="427D2022"/>
    <w:rsid w:val="42864D18"/>
    <w:rsid w:val="42892A5A"/>
    <w:rsid w:val="42937435"/>
    <w:rsid w:val="429C453B"/>
    <w:rsid w:val="42C83582"/>
    <w:rsid w:val="42CB6BCE"/>
    <w:rsid w:val="42E367A3"/>
    <w:rsid w:val="42F645DF"/>
    <w:rsid w:val="430331CA"/>
    <w:rsid w:val="43070F51"/>
    <w:rsid w:val="43140575"/>
    <w:rsid w:val="43192030"/>
    <w:rsid w:val="43324C98"/>
    <w:rsid w:val="433724B6"/>
    <w:rsid w:val="43454BD3"/>
    <w:rsid w:val="43546802"/>
    <w:rsid w:val="43714522"/>
    <w:rsid w:val="43880F63"/>
    <w:rsid w:val="43A318F9"/>
    <w:rsid w:val="43AA2C88"/>
    <w:rsid w:val="43BB4E95"/>
    <w:rsid w:val="43C024AB"/>
    <w:rsid w:val="43D67F21"/>
    <w:rsid w:val="43E16008"/>
    <w:rsid w:val="43F839F3"/>
    <w:rsid w:val="4413082D"/>
    <w:rsid w:val="44381A5E"/>
    <w:rsid w:val="444E3F5B"/>
    <w:rsid w:val="44780FD8"/>
    <w:rsid w:val="44867251"/>
    <w:rsid w:val="448B2AB9"/>
    <w:rsid w:val="44C9538F"/>
    <w:rsid w:val="44E00044"/>
    <w:rsid w:val="44ED72D0"/>
    <w:rsid w:val="44F3065E"/>
    <w:rsid w:val="450D34CE"/>
    <w:rsid w:val="45235B30"/>
    <w:rsid w:val="455235D7"/>
    <w:rsid w:val="458F482B"/>
    <w:rsid w:val="45AA3413"/>
    <w:rsid w:val="45AF0A29"/>
    <w:rsid w:val="45AF27D7"/>
    <w:rsid w:val="45B33B9B"/>
    <w:rsid w:val="45B6056B"/>
    <w:rsid w:val="45C03FB5"/>
    <w:rsid w:val="45C600D0"/>
    <w:rsid w:val="45E5444B"/>
    <w:rsid w:val="46132D66"/>
    <w:rsid w:val="464473C4"/>
    <w:rsid w:val="46893028"/>
    <w:rsid w:val="46AC4F69"/>
    <w:rsid w:val="46B641F3"/>
    <w:rsid w:val="46D63D94"/>
    <w:rsid w:val="470B1C8F"/>
    <w:rsid w:val="4723347D"/>
    <w:rsid w:val="47543636"/>
    <w:rsid w:val="4764175D"/>
    <w:rsid w:val="47665118"/>
    <w:rsid w:val="476E221E"/>
    <w:rsid w:val="4770243A"/>
    <w:rsid w:val="477A0BC3"/>
    <w:rsid w:val="47CB7671"/>
    <w:rsid w:val="48272AF9"/>
    <w:rsid w:val="486F44A0"/>
    <w:rsid w:val="48855A71"/>
    <w:rsid w:val="48B85E47"/>
    <w:rsid w:val="48C04CFB"/>
    <w:rsid w:val="48C269A2"/>
    <w:rsid w:val="48E21116"/>
    <w:rsid w:val="48F72D2E"/>
    <w:rsid w:val="49115519"/>
    <w:rsid w:val="49172B6D"/>
    <w:rsid w:val="491C28C1"/>
    <w:rsid w:val="493F20C4"/>
    <w:rsid w:val="494160C9"/>
    <w:rsid w:val="49543DC1"/>
    <w:rsid w:val="49706721"/>
    <w:rsid w:val="49B123F5"/>
    <w:rsid w:val="49D92519"/>
    <w:rsid w:val="49FB423D"/>
    <w:rsid w:val="4A1452FF"/>
    <w:rsid w:val="4A331C29"/>
    <w:rsid w:val="4A45370A"/>
    <w:rsid w:val="4A54394D"/>
    <w:rsid w:val="4A7E09CA"/>
    <w:rsid w:val="4A804742"/>
    <w:rsid w:val="4A9106FD"/>
    <w:rsid w:val="4A946440"/>
    <w:rsid w:val="4AA246B9"/>
    <w:rsid w:val="4AB443EC"/>
    <w:rsid w:val="4AD52CE0"/>
    <w:rsid w:val="4AE5697A"/>
    <w:rsid w:val="4B217CD3"/>
    <w:rsid w:val="4B247FF5"/>
    <w:rsid w:val="4B257098"/>
    <w:rsid w:val="4B2772B4"/>
    <w:rsid w:val="4B335C59"/>
    <w:rsid w:val="4B35552D"/>
    <w:rsid w:val="4B3E1837"/>
    <w:rsid w:val="4B4E65EF"/>
    <w:rsid w:val="4B645E12"/>
    <w:rsid w:val="4B7324F9"/>
    <w:rsid w:val="4B773D97"/>
    <w:rsid w:val="4B814C16"/>
    <w:rsid w:val="4B9761E7"/>
    <w:rsid w:val="4B994494"/>
    <w:rsid w:val="4BA45F7F"/>
    <w:rsid w:val="4BFA24C4"/>
    <w:rsid w:val="4C177866"/>
    <w:rsid w:val="4C1B0BC7"/>
    <w:rsid w:val="4C352402"/>
    <w:rsid w:val="4C431ECB"/>
    <w:rsid w:val="4C5174C5"/>
    <w:rsid w:val="4C651E42"/>
    <w:rsid w:val="4C975D73"/>
    <w:rsid w:val="4C9B3AB5"/>
    <w:rsid w:val="4CA90092"/>
    <w:rsid w:val="4CBB7CB4"/>
    <w:rsid w:val="4CBD5E6F"/>
    <w:rsid w:val="4CCA439B"/>
    <w:rsid w:val="4D1D3051"/>
    <w:rsid w:val="4D602609"/>
    <w:rsid w:val="4D73058E"/>
    <w:rsid w:val="4D8207D1"/>
    <w:rsid w:val="4DCA75CA"/>
    <w:rsid w:val="4DED0341"/>
    <w:rsid w:val="4E04568A"/>
    <w:rsid w:val="4E2B70BB"/>
    <w:rsid w:val="4E347D1E"/>
    <w:rsid w:val="4E593C28"/>
    <w:rsid w:val="4E6C5709"/>
    <w:rsid w:val="4E8D0FEE"/>
    <w:rsid w:val="4E8F31A6"/>
    <w:rsid w:val="4E9E163B"/>
    <w:rsid w:val="4EA03605"/>
    <w:rsid w:val="4EA10581"/>
    <w:rsid w:val="4EA56E6D"/>
    <w:rsid w:val="4EAD76A2"/>
    <w:rsid w:val="4EF314F5"/>
    <w:rsid w:val="4F0231B8"/>
    <w:rsid w:val="4F0A0A7E"/>
    <w:rsid w:val="4F2C7344"/>
    <w:rsid w:val="4F42290E"/>
    <w:rsid w:val="4F5328C0"/>
    <w:rsid w:val="4F5C39D0"/>
    <w:rsid w:val="4F9D18F3"/>
    <w:rsid w:val="4FA669F9"/>
    <w:rsid w:val="4FAE1D52"/>
    <w:rsid w:val="4FC450D1"/>
    <w:rsid w:val="4FD712A8"/>
    <w:rsid w:val="4FDA66A3"/>
    <w:rsid w:val="4FDC11E8"/>
    <w:rsid w:val="502B6EFE"/>
    <w:rsid w:val="502F4415"/>
    <w:rsid w:val="50357D7D"/>
    <w:rsid w:val="504B57F2"/>
    <w:rsid w:val="50575F45"/>
    <w:rsid w:val="506B7C43"/>
    <w:rsid w:val="50974594"/>
    <w:rsid w:val="50DB0924"/>
    <w:rsid w:val="50DB42B0"/>
    <w:rsid w:val="50DB6B76"/>
    <w:rsid w:val="50FE0AB7"/>
    <w:rsid w:val="512247A5"/>
    <w:rsid w:val="51316796"/>
    <w:rsid w:val="513D513B"/>
    <w:rsid w:val="51404C2B"/>
    <w:rsid w:val="514C1822"/>
    <w:rsid w:val="51532BB1"/>
    <w:rsid w:val="51583D23"/>
    <w:rsid w:val="515F1555"/>
    <w:rsid w:val="518A5306"/>
    <w:rsid w:val="51B82A14"/>
    <w:rsid w:val="51DD691E"/>
    <w:rsid w:val="51EB4B97"/>
    <w:rsid w:val="51FC4FF6"/>
    <w:rsid w:val="522E2CD6"/>
    <w:rsid w:val="52320A18"/>
    <w:rsid w:val="523F1387"/>
    <w:rsid w:val="52952D55"/>
    <w:rsid w:val="52A64F62"/>
    <w:rsid w:val="52BC6534"/>
    <w:rsid w:val="52BF281F"/>
    <w:rsid w:val="52CA0C50"/>
    <w:rsid w:val="52D91433"/>
    <w:rsid w:val="52E31D12"/>
    <w:rsid w:val="52E71802"/>
    <w:rsid w:val="530D4FE1"/>
    <w:rsid w:val="531C6FD2"/>
    <w:rsid w:val="53285977"/>
    <w:rsid w:val="53346A12"/>
    <w:rsid w:val="53746E0E"/>
    <w:rsid w:val="537D3F15"/>
    <w:rsid w:val="538C5F06"/>
    <w:rsid w:val="538E6122"/>
    <w:rsid w:val="53AA2830"/>
    <w:rsid w:val="53B11E10"/>
    <w:rsid w:val="53BA0CC5"/>
    <w:rsid w:val="53C5766A"/>
    <w:rsid w:val="53C733E2"/>
    <w:rsid w:val="53CC09F8"/>
    <w:rsid w:val="53D17DBD"/>
    <w:rsid w:val="53D8114B"/>
    <w:rsid w:val="53E47AF0"/>
    <w:rsid w:val="53F43F3C"/>
    <w:rsid w:val="53FD5056"/>
    <w:rsid w:val="54280B64"/>
    <w:rsid w:val="54501629"/>
    <w:rsid w:val="545033D7"/>
    <w:rsid w:val="54574804"/>
    <w:rsid w:val="547277F2"/>
    <w:rsid w:val="54770964"/>
    <w:rsid w:val="547F5A6B"/>
    <w:rsid w:val="548E3F00"/>
    <w:rsid w:val="54972DB4"/>
    <w:rsid w:val="54A84FC1"/>
    <w:rsid w:val="54AB6860"/>
    <w:rsid w:val="54C16083"/>
    <w:rsid w:val="54DC110F"/>
    <w:rsid w:val="55216B22"/>
    <w:rsid w:val="55572544"/>
    <w:rsid w:val="55805F3E"/>
    <w:rsid w:val="55956932"/>
    <w:rsid w:val="559D43FA"/>
    <w:rsid w:val="55D41DE6"/>
    <w:rsid w:val="55D50038"/>
    <w:rsid w:val="55F04E72"/>
    <w:rsid w:val="55F52488"/>
    <w:rsid w:val="55FB55C5"/>
    <w:rsid w:val="5619797C"/>
    <w:rsid w:val="5640122A"/>
    <w:rsid w:val="56466840"/>
    <w:rsid w:val="56530F5D"/>
    <w:rsid w:val="5655106E"/>
    <w:rsid w:val="5665777C"/>
    <w:rsid w:val="568B6949"/>
    <w:rsid w:val="568F468B"/>
    <w:rsid w:val="569A3030"/>
    <w:rsid w:val="569A4DDE"/>
    <w:rsid w:val="56AC7A7F"/>
    <w:rsid w:val="56BF65F2"/>
    <w:rsid w:val="56C9013A"/>
    <w:rsid w:val="56E524FD"/>
    <w:rsid w:val="56FF4F3E"/>
    <w:rsid w:val="570861EB"/>
    <w:rsid w:val="57342B3C"/>
    <w:rsid w:val="57580F21"/>
    <w:rsid w:val="57821E3F"/>
    <w:rsid w:val="57A35F14"/>
    <w:rsid w:val="57BD0D84"/>
    <w:rsid w:val="57E82409"/>
    <w:rsid w:val="585355F6"/>
    <w:rsid w:val="58636A07"/>
    <w:rsid w:val="58682C37"/>
    <w:rsid w:val="586C4558"/>
    <w:rsid w:val="58A61818"/>
    <w:rsid w:val="58AE2D0D"/>
    <w:rsid w:val="58B511AF"/>
    <w:rsid w:val="58F24A5D"/>
    <w:rsid w:val="58F5454D"/>
    <w:rsid w:val="593E7CA2"/>
    <w:rsid w:val="596D2336"/>
    <w:rsid w:val="59914276"/>
    <w:rsid w:val="599E2E37"/>
    <w:rsid w:val="59B77A55"/>
    <w:rsid w:val="59C77C98"/>
    <w:rsid w:val="59CC3500"/>
    <w:rsid w:val="59DC0BCE"/>
    <w:rsid w:val="59FD5DAF"/>
    <w:rsid w:val="5A21067D"/>
    <w:rsid w:val="5A247441"/>
    <w:rsid w:val="5A2F1CE1"/>
    <w:rsid w:val="5A3A10D3"/>
    <w:rsid w:val="5A56726E"/>
    <w:rsid w:val="5A6000EC"/>
    <w:rsid w:val="5A8262B5"/>
    <w:rsid w:val="5A985AD8"/>
    <w:rsid w:val="5AA21B93"/>
    <w:rsid w:val="5AA24261"/>
    <w:rsid w:val="5ACD39D4"/>
    <w:rsid w:val="5ACD563D"/>
    <w:rsid w:val="5AD85ED5"/>
    <w:rsid w:val="5AEE56F8"/>
    <w:rsid w:val="5B163AB7"/>
    <w:rsid w:val="5B1C2265"/>
    <w:rsid w:val="5B3A093D"/>
    <w:rsid w:val="5B3F7D02"/>
    <w:rsid w:val="5B44356A"/>
    <w:rsid w:val="5B5419FF"/>
    <w:rsid w:val="5B653C0C"/>
    <w:rsid w:val="5B6D3744"/>
    <w:rsid w:val="5B7E4CCE"/>
    <w:rsid w:val="5B8975FD"/>
    <w:rsid w:val="5BA34735"/>
    <w:rsid w:val="5BAD2CD9"/>
    <w:rsid w:val="5BB97AB4"/>
    <w:rsid w:val="5BC56459"/>
    <w:rsid w:val="5BE34B31"/>
    <w:rsid w:val="5BEF5191"/>
    <w:rsid w:val="5BFE5E0F"/>
    <w:rsid w:val="5C2C297C"/>
    <w:rsid w:val="5C8B5CF9"/>
    <w:rsid w:val="5CA16EC6"/>
    <w:rsid w:val="5CBA3AE4"/>
    <w:rsid w:val="5CBB0910"/>
    <w:rsid w:val="5CC42BB4"/>
    <w:rsid w:val="5CC64977"/>
    <w:rsid w:val="5CD03307"/>
    <w:rsid w:val="5CE62B2B"/>
    <w:rsid w:val="5D0B07E3"/>
    <w:rsid w:val="5D0E2082"/>
    <w:rsid w:val="5D3D64C3"/>
    <w:rsid w:val="5D4D4958"/>
    <w:rsid w:val="5D7A552B"/>
    <w:rsid w:val="5D924A61"/>
    <w:rsid w:val="5DB03139"/>
    <w:rsid w:val="5E196F30"/>
    <w:rsid w:val="5E203E1A"/>
    <w:rsid w:val="5E2356B9"/>
    <w:rsid w:val="5E652175"/>
    <w:rsid w:val="5E671A49"/>
    <w:rsid w:val="5E9F7435"/>
    <w:rsid w:val="5EA902B4"/>
    <w:rsid w:val="5ECF3E31"/>
    <w:rsid w:val="5ED864A3"/>
    <w:rsid w:val="5EE27322"/>
    <w:rsid w:val="5F180F96"/>
    <w:rsid w:val="5F230066"/>
    <w:rsid w:val="5F333E46"/>
    <w:rsid w:val="5F376042"/>
    <w:rsid w:val="5F922AF6"/>
    <w:rsid w:val="5FC4581F"/>
    <w:rsid w:val="5FCF3D4A"/>
    <w:rsid w:val="5FD17AC2"/>
    <w:rsid w:val="5FDB26EF"/>
    <w:rsid w:val="5FF43474"/>
    <w:rsid w:val="5FFC4413"/>
    <w:rsid w:val="6008725C"/>
    <w:rsid w:val="600C0AFA"/>
    <w:rsid w:val="602120CC"/>
    <w:rsid w:val="603911C4"/>
    <w:rsid w:val="6062071A"/>
    <w:rsid w:val="60716BAF"/>
    <w:rsid w:val="60902F54"/>
    <w:rsid w:val="60AF1ED3"/>
    <w:rsid w:val="60BD4284"/>
    <w:rsid w:val="60BE791B"/>
    <w:rsid w:val="60C43183"/>
    <w:rsid w:val="60C767CF"/>
    <w:rsid w:val="60E750C3"/>
    <w:rsid w:val="60F375C4"/>
    <w:rsid w:val="60FB46CB"/>
    <w:rsid w:val="60FE69B5"/>
    <w:rsid w:val="61047A23"/>
    <w:rsid w:val="610A2B60"/>
    <w:rsid w:val="61135EB8"/>
    <w:rsid w:val="6129748A"/>
    <w:rsid w:val="61483DB4"/>
    <w:rsid w:val="6155202D"/>
    <w:rsid w:val="61581B1D"/>
    <w:rsid w:val="616404C2"/>
    <w:rsid w:val="616B7AA3"/>
    <w:rsid w:val="61AB7E9F"/>
    <w:rsid w:val="61CA6EC6"/>
    <w:rsid w:val="61CB0541"/>
    <w:rsid w:val="61D5316E"/>
    <w:rsid w:val="61E82EA1"/>
    <w:rsid w:val="62385432"/>
    <w:rsid w:val="623954AB"/>
    <w:rsid w:val="624438CC"/>
    <w:rsid w:val="628C1A7E"/>
    <w:rsid w:val="62C3746A"/>
    <w:rsid w:val="62CA6A4B"/>
    <w:rsid w:val="62CE653B"/>
    <w:rsid w:val="62E775FD"/>
    <w:rsid w:val="62F835B8"/>
    <w:rsid w:val="63043D0B"/>
    <w:rsid w:val="631E3C32"/>
    <w:rsid w:val="63224191"/>
    <w:rsid w:val="63526AAF"/>
    <w:rsid w:val="63682FEE"/>
    <w:rsid w:val="636D6842"/>
    <w:rsid w:val="637C7D45"/>
    <w:rsid w:val="637D1D0F"/>
    <w:rsid w:val="63894210"/>
    <w:rsid w:val="638C7DDC"/>
    <w:rsid w:val="63901A42"/>
    <w:rsid w:val="63A57B87"/>
    <w:rsid w:val="63A96660"/>
    <w:rsid w:val="63B514A9"/>
    <w:rsid w:val="63C45248"/>
    <w:rsid w:val="63D86F45"/>
    <w:rsid w:val="63DD455C"/>
    <w:rsid w:val="63F0603D"/>
    <w:rsid w:val="640504A4"/>
    <w:rsid w:val="644F5459"/>
    <w:rsid w:val="645A795A"/>
    <w:rsid w:val="6461518D"/>
    <w:rsid w:val="64790728"/>
    <w:rsid w:val="64A70DF2"/>
    <w:rsid w:val="64D4770D"/>
    <w:rsid w:val="65044496"/>
    <w:rsid w:val="652266CA"/>
    <w:rsid w:val="656C4713"/>
    <w:rsid w:val="65744A4C"/>
    <w:rsid w:val="65E676F8"/>
    <w:rsid w:val="65E73470"/>
    <w:rsid w:val="65FF4C5D"/>
    <w:rsid w:val="662621EA"/>
    <w:rsid w:val="663E65EC"/>
    <w:rsid w:val="665723A3"/>
    <w:rsid w:val="66707909"/>
    <w:rsid w:val="66763171"/>
    <w:rsid w:val="66862C89"/>
    <w:rsid w:val="668B029F"/>
    <w:rsid w:val="66A31A8D"/>
    <w:rsid w:val="66AA4BC9"/>
    <w:rsid w:val="66D659BE"/>
    <w:rsid w:val="66EF7B08"/>
    <w:rsid w:val="66F10A4A"/>
    <w:rsid w:val="66FD119D"/>
    <w:rsid w:val="6712775C"/>
    <w:rsid w:val="67136B65"/>
    <w:rsid w:val="672A7AB8"/>
    <w:rsid w:val="6736645D"/>
    <w:rsid w:val="67371638"/>
    <w:rsid w:val="67787F07"/>
    <w:rsid w:val="678371C8"/>
    <w:rsid w:val="678673E4"/>
    <w:rsid w:val="679247E2"/>
    <w:rsid w:val="67AC671F"/>
    <w:rsid w:val="67B85003"/>
    <w:rsid w:val="67D46A05"/>
    <w:rsid w:val="67ED169D"/>
    <w:rsid w:val="6804655B"/>
    <w:rsid w:val="6811678C"/>
    <w:rsid w:val="6817003C"/>
    <w:rsid w:val="682D5AB2"/>
    <w:rsid w:val="68307350"/>
    <w:rsid w:val="684E5A28"/>
    <w:rsid w:val="68802085"/>
    <w:rsid w:val="68815DFE"/>
    <w:rsid w:val="688356D2"/>
    <w:rsid w:val="68C161FA"/>
    <w:rsid w:val="68C83A2C"/>
    <w:rsid w:val="68CA3301"/>
    <w:rsid w:val="68D75A1D"/>
    <w:rsid w:val="68F6409A"/>
    <w:rsid w:val="68FD36D6"/>
    <w:rsid w:val="690E58E3"/>
    <w:rsid w:val="691C78D4"/>
    <w:rsid w:val="692C5EB4"/>
    <w:rsid w:val="69313380"/>
    <w:rsid w:val="693365A4"/>
    <w:rsid w:val="696A6892"/>
    <w:rsid w:val="69841670"/>
    <w:rsid w:val="699345C0"/>
    <w:rsid w:val="69B144C0"/>
    <w:rsid w:val="69EA352F"/>
    <w:rsid w:val="6A413A96"/>
    <w:rsid w:val="6A4B0471"/>
    <w:rsid w:val="6A5D0610"/>
    <w:rsid w:val="6A725DDD"/>
    <w:rsid w:val="6A7774B8"/>
    <w:rsid w:val="6A845731"/>
    <w:rsid w:val="6AA3488A"/>
    <w:rsid w:val="6AA47B81"/>
    <w:rsid w:val="6ACB7804"/>
    <w:rsid w:val="6ADD43E2"/>
    <w:rsid w:val="6AED32D6"/>
    <w:rsid w:val="6AEF53C4"/>
    <w:rsid w:val="6AF64881"/>
    <w:rsid w:val="6B0074AE"/>
    <w:rsid w:val="6B0E09FF"/>
    <w:rsid w:val="6B1271E1"/>
    <w:rsid w:val="6B1B6095"/>
    <w:rsid w:val="6B2C2051"/>
    <w:rsid w:val="6B4D0219"/>
    <w:rsid w:val="6B8C2AEF"/>
    <w:rsid w:val="6BA936A1"/>
    <w:rsid w:val="6BAA7419"/>
    <w:rsid w:val="6BD41445"/>
    <w:rsid w:val="6BF012D0"/>
    <w:rsid w:val="6BF30DC0"/>
    <w:rsid w:val="6BF54B38"/>
    <w:rsid w:val="6C2076DB"/>
    <w:rsid w:val="6C24541E"/>
    <w:rsid w:val="6C384A25"/>
    <w:rsid w:val="6C427652"/>
    <w:rsid w:val="6C44786E"/>
    <w:rsid w:val="6C55253B"/>
    <w:rsid w:val="6C7A6EA4"/>
    <w:rsid w:val="6C9A123C"/>
    <w:rsid w:val="6CA87DFD"/>
    <w:rsid w:val="6CCD7863"/>
    <w:rsid w:val="6CF7668E"/>
    <w:rsid w:val="6D194C0E"/>
    <w:rsid w:val="6D561607"/>
    <w:rsid w:val="6D567859"/>
    <w:rsid w:val="6D69382B"/>
    <w:rsid w:val="6D8D6DE8"/>
    <w:rsid w:val="6D920165"/>
    <w:rsid w:val="6DA57E98"/>
    <w:rsid w:val="6DB8406F"/>
    <w:rsid w:val="6DBE28E9"/>
    <w:rsid w:val="6DCC18C9"/>
    <w:rsid w:val="6DE36AC3"/>
    <w:rsid w:val="6DEE5CE3"/>
    <w:rsid w:val="6DF80910"/>
    <w:rsid w:val="6DFB21AE"/>
    <w:rsid w:val="6DFF1C9E"/>
    <w:rsid w:val="6E027099"/>
    <w:rsid w:val="6E0A23F1"/>
    <w:rsid w:val="6E0A419F"/>
    <w:rsid w:val="6E0F7A08"/>
    <w:rsid w:val="6E2434B3"/>
    <w:rsid w:val="6E380D0C"/>
    <w:rsid w:val="6E5B49FB"/>
    <w:rsid w:val="6E8D72AA"/>
    <w:rsid w:val="6EBE3907"/>
    <w:rsid w:val="6EC151A6"/>
    <w:rsid w:val="6EC24A7A"/>
    <w:rsid w:val="6F4F27B2"/>
    <w:rsid w:val="6F571666"/>
    <w:rsid w:val="6F8F2BAE"/>
    <w:rsid w:val="6F9208F0"/>
    <w:rsid w:val="6FA7439C"/>
    <w:rsid w:val="6FAD74D8"/>
    <w:rsid w:val="6FC7059A"/>
    <w:rsid w:val="6FDE58E3"/>
    <w:rsid w:val="6FED5B27"/>
    <w:rsid w:val="6FF173C5"/>
    <w:rsid w:val="70001CFE"/>
    <w:rsid w:val="702A28D7"/>
    <w:rsid w:val="702E2F92"/>
    <w:rsid w:val="70311EB7"/>
    <w:rsid w:val="704F233D"/>
    <w:rsid w:val="706C6E5E"/>
    <w:rsid w:val="70750CC3"/>
    <w:rsid w:val="70787AE6"/>
    <w:rsid w:val="70840239"/>
    <w:rsid w:val="70910BA8"/>
    <w:rsid w:val="70966D37"/>
    <w:rsid w:val="709D12FB"/>
    <w:rsid w:val="70B07280"/>
    <w:rsid w:val="70C20D61"/>
    <w:rsid w:val="70DF5DB7"/>
    <w:rsid w:val="70F353BF"/>
    <w:rsid w:val="70F3716D"/>
    <w:rsid w:val="71105F71"/>
    <w:rsid w:val="712B2DAA"/>
    <w:rsid w:val="717C7162"/>
    <w:rsid w:val="718F6E95"/>
    <w:rsid w:val="71AB7A47"/>
    <w:rsid w:val="71B41EA2"/>
    <w:rsid w:val="71CF3736"/>
    <w:rsid w:val="71D90A58"/>
    <w:rsid w:val="71EC3F35"/>
    <w:rsid w:val="72023B0B"/>
    <w:rsid w:val="720553A9"/>
    <w:rsid w:val="721750DD"/>
    <w:rsid w:val="722717C4"/>
    <w:rsid w:val="722F2426"/>
    <w:rsid w:val="722F4B1D"/>
    <w:rsid w:val="723D0FE7"/>
    <w:rsid w:val="725A3947"/>
    <w:rsid w:val="72B8066E"/>
    <w:rsid w:val="72EE5E3E"/>
    <w:rsid w:val="730B69EF"/>
    <w:rsid w:val="73214465"/>
    <w:rsid w:val="733F6699"/>
    <w:rsid w:val="735A1725"/>
    <w:rsid w:val="736D1458"/>
    <w:rsid w:val="73770529"/>
    <w:rsid w:val="738B18DE"/>
    <w:rsid w:val="7399049F"/>
    <w:rsid w:val="73AF1A71"/>
    <w:rsid w:val="73B9644B"/>
    <w:rsid w:val="73C6500C"/>
    <w:rsid w:val="73D4233E"/>
    <w:rsid w:val="73DB2866"/>
    <w:rsid w:val="73F41F8C"/>
    <w:rsid w:val="740873D3"/>
    <w:rsid w:val="741B5358"/>
    <w:rsid w:val="74253FA2"/>
    <w:rsid w:val="74492111"/>
    <w:rsid w:val="745D771F"/>
    <w:rsid w:val="74600FBD"/>
    <w:rsid w:val="74602D6B"/>
    <w:rsid w:val="74673E70"/>
    <w:rsid w:val="74820F33"/>
    <w:rsid w:val="7489557A"/>
    <w:rsid w:val="748D0748"/>
    <w:rsid w:val="74BB4445"/>
    <w:rsid w:val="74F636CF"/>
    <w:rsid w:val="75530B22"/>
    <w:rsid w:val="756D1BE3"/>
    <w:rsid w:val="758807CB"/>
    <w:rsid w:val="758E56B6"/>
    <w:rsid w:val="75C5557C"/>
    <w:rsid w:val="75C90F3B"/>
    <w:rsid w:val="75D27C98"/>
    <w:rsid w:val="75D51537"/>
    <w:rsid w:val="75FB71EF"/>
    <w:rsid w:val="764A3CD3"/>
    <w:rsid w:val="764C7A4B"/>
    <w:rsid w:val="766905FD"/>
    <w:rsid w:val="76754F96"/>
    <w:rsid w:val="76CE78E6"/>
    <w:rsid w:val="76D0242A"/>
    <w:rsid w:val="77147E3D"/>
    <w:rsid w:val="771F648D"/>
    <w:rsid w:val="776C1A27"/>
    <w:rsid w:val="77702943"/>
    <w:rsid w:val="77831323"/>
    <w:rsid w:val="7789082B"/>
    <w:rsid w:val="779D6084"/>
    <w:rsid w:val="77A967D7"/>
    <w:rsid w:val="77C27899"/>
    <w:rsid w:val="78252301"/>
    <w:rsid w:val="782C23C9"/>
    <w:rsid w:val="78360DC6"/>
    <w:rsid w:val="783C589D"/>
    <w:rsid w:val="78770683"/>
    <w:rsid w:val="78850FF2"/>
    <w:rsid w:val="78872FBC"/>
    <w:rsid w:val="78F85C68"/>
    <w:rsid w:val="78FB3062"/>
    <w:rsid w:val="79334EF2"/>
    <w:rsid w:val="79352A18"/>
    <w:rsid w:val="793547C6"/>
    <w:rsid w:val="79517074"/>
    <w:rsid w:val="79532E9E"/>
    <w:rsid w:val="795B6A76"/>
    <w:rsid w:val="79703A50"/>
    <w:rsid w:val="79725A1A"/>
    <w:rsid w:val="79B55907"/>
    <w:rsid w:val="79FE72AE"/>
    <w:rsid w:val="7A1C5CB1"/>
    <w:rsid w:val="7A236D15"/>
    <w:rsid w:val="7A28257D"/>
    <w:rsid w:val="7A3B22B0"/>
    <w:rsid w:val="7A3C1B84"/>
    <w:rsid w:val="7A4F7B0A"/>
    <w:rsid w:val="7A822729"/>
    <w:rsid w:val="7A85177D"/>
    <w:rsid w:val="7A862E00"/>
    <w:rsid w:val="7A910122"/>
    <w:rsid w:val="7AC06311"/>
    <w:rsid w:val="7AEE7323"/>
    <w:rsid w:val="7AEF4E49"/>
    <w:rsid w:val="7B1F572E"/>
    <w:rsid w:val="7B2C1BF9"/>
    <w:rsid w:val="7B302338"/>
    <w:rsid w:val="7B3C40D0"/>
    <w:rsid w:val="7B490819"/>
    <w:rsid w:val="7B494559"/>
    <w:rsid w:val="7B5B428C"/>
    <w:rsid w:val="7B7610C6"/>
    <w:rsid w:val="7BA93249"/>
    <w:rsid w:val="7BAB0D70"/>
    <w:rsid w:val="7BB51BEE"/>
    <w:rsid w:val="7C26489A"/>
    <w:rsid w:val="7C53287A"/>
    <w:rsid w:val="7C5C4760"/>
    <w:rsid w:val="7C927774"/>
    <w:rsid w:val="7C961A20"/>
    <w:rsid w:val="7CB63E70"/>
    <w:rsid w:val="7CB65C1E"/>
    <w:rsid w:val="7CC540B3"/>
    <w:rsid w:val="7CF60710"/>
    <w:rsid w:val="7D0746CC"/>
    <w:rsid w:val="7D083FA0"/>
    <w:rsid w:val="7D126BCC"/>
    <w:rsid w:val="7D272678"/>
    <w:rsid w:val="7D6531A0"/>
    <w:rsid w:val="7D7F0706"/>
    <w:rsid w:val="7D871368"/>
    <w:rsid w:val="7DAE0FEB"/>
    <w:rsid w:val="7DBA5383"/>
    <w:rsid w:val="7DBD2FDC"/>
    <w:rsid w:val="7DF82266"/>
    <w:rsid w:val="7E040C0B"/>
    <w:rsid w:val="7E132BFC"/>
    <w:rsid w:val="7E2412AD"/>
    <w:rsid w:val="7E631DD5"/>
    <w:rsid w:val="7E6C1B17"/>
    <w:rsid w:val="7E8458A8"/>
    <w:rsid w:val="7E851D4C"/>
    <w:rsid w:val="7E9A50CB"/>
    <w:rsid w:val="7EA23D68"/>
    <w:rsid w:val="7EA764FC"/>
    <w:rsid w:val="7ED21DA0"/>
    <w:rsid w:val="7ED71E7C"/>
    <w:rsid w:val="7EFF7B93"/>
    <w:rsid w:val="7F160BF6"/>
    <w:rsid w:val="7F1E7AAB"/>
    <w:rsid w:val="7F2900D7"/>
    <w:rsid w:val="7F460DAF"/>
    <w:rsid w:val="7F4D213E"/>
    <w:rsid w:val="7F567244"/>
    <w:rsid w:val="7F623E3B"/>
    <w:rsid w:val="7F6F47AA"/>
    <w:rsid w:val="7F7973D7"/>
    <w:rsid w:val="7F8E0DA1"/>
    <w:rsid w:val="7F8E2E82"/>
    <w:rsid w:val="7F945FBF"/>
    <w:rsid w:val="7FA73F44"/>
    <w:rsid w:val="7FC878A2"/>
    <w:rsid w:val="7FF52F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semiHidden="0" w:name="heading 3"/>
    <w:lsdException w:qFormat="1" w:uiPriority="9" w:semiHidden="0" w:name="heading 4"/>
    <w:lsdException w:qFormat="1" w:uiPriority="9"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sz w:val="44"/>
      <w:szCs w:val="44"/>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4">
    <w:name w:val="heading 3"/>
    <w:basedOn w:val="1"/>
    <w:next w:val="1"/>
    <w:unhideWhenUsed/>
    <w:qFormat/>
    <w:uiPriority w:val="0"/>
    <w:pPr>
      <w:keepNext/>
      <w:keepLines/>
      <w:spacing w:before="260" w:after="260" w:line="416" w:lineRule="auto"/>
      <w:outlineLvl w:val="2"/>
    </w:pPr>
    <w:rPr>
      <w:b/>
      <w:bCs/>
      <w:sz w:val="32"/>
      <w:szCs w:val="32"/>
    </w:rPr>
  </w:style>
  <w:style w:type="paragraph" w:styleId="5">
    <w:name w:val="heading 4"/>
    <w:basedOn w:val="1"/>
    <w:next w:val="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semiHidden/>
    <w:unhideWhenUsed/>
    <w:qFormat/>
    <w:uiPriority w:val="9"/>
    <w:pPr>
      <w:keepNext/>
      <w:keepLines/>
      <w:spacing w:before="280" w:after="290" w:line="372" w:lineRule="auto"/>
      <w:outlineLvl w:val="4"/>
    </w:pPr>
    <w:rPr>
      <w:b/>
      <w:sz w:val="28"/>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annotation text"/>
    <w:basedOn w:val="1"/>
    <w:qFormat/>
    <w:uiPriority w:val="0"/>
    <w:pPr>
      <w:jc w:val="left"/>
    </w:pPr>
  </w:style>
  <w:style w:type="paragraph" w:styleId="14">
    <w:name w:val="Body Text"/>
    <w:basedOn w:val="1"/>
    <w:unhideWhenUsed/>
    <w:qFormat/>
    <w:uiPriority w:val="0"/>
    <w:pPr>
      <w:spacing w:after="120"/>
    </w:pPr>
    <w:rPr>
      <w:rFonts w:ascii="Calibri" w:hAnsi="Calibri"/>
      <w:szCs w:val="22"/>
    </w:rPr>
  </w:style>
  <w:style w:type="paragraph" w:styleId="15">
    <w:name w:val="Block Text"/>
    <w:basedOn w:val="1"/>
    <w:qFormat/>
    <w:uiPriority w:val="0"/>
    <w:pPr>
      <w:ind w:left="420" w:right="33"/>
      <w:jc w:val="left"/>
    </w:pPr>
    <w:rPr>
      <w:sz w:val="24"/>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Plain Text"/>
    <w:basedOn w:val="1"/>
    <w:unhideWhenUsed/>
    <w:qFormat/>
    <w:uiPriority w:val="0"/>
    <w:rPr>
      <w:rFonts w:ascii="宋体" w:hAnsi="Courier New" w:cs="Courier New"/>
      <w:szCs w:val="21"/>
    </w:r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6"/>
    <w:semiHidden/>
    <w:unhideWhenUsed/>
    <w:qFormat/>
    <w:uiPriority w:val="99"/>
    <w:pPr>
      <w:spacing w:after="0" w:line="240" w:lineRule="auto"/>
    </w:pPr>
    <w:rPr>
      <w:sz w:val="20"/>
    </w:rPr>
  </w:style>
  <w:style w:type="paragraph" w:styleId="21">
    <w:name w:val="footer"/>
    <w:basedOn w:val="1"/>
    <w:link w:val="189"/>
    <w:qFormat/>
    <w:uiPriority w:val="0"/>
    <w:pPr>
      <w:tabs>
        <w:tab w:val="center" w:pos="4153"/>
        <w:tab w:val="right" w:pos="8306"/>
      </w:tabs>
      <w:jc w:val="left"/>
    </w:pPr>
    <w:rPr>
      <w:sz w:val="18"/>
      <w:szCs w:val="18"/>
    </w:rPr>
  </w:style>
  <w:style w:type="paragraph" w:styleId="22">
    <w:name w:val="header"/>
    <w:basedOn w:val="1"/>
    <w:link w:val="188"/>
    <w:qFormat/>
    <w:uiPriority w:val="0"/>
    <w:pPr>
      <w:pBdr>
        <w:bottom w:val="single" w:color="auto" w:sz="6" w:space="1"/>
      </w:pBdr>
      <w:tabs>
        <w:tab w:val="center" w:pos="4153"/>
        <w:tab w:val="right" w:pos="8306"/>
      </w:tabs>
      <w:jc w:val="center"/>
    </w:pPr>
    <w:rPr>
      <w:sz w:val="18"/>
      <w:szCs w:val="18"/>
    </w:r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2"/>
    <w:qFormat/>
    <w:uiPriority w:val="11"/>
    <w:pPr>
      <w:spacing w:before="200" w:after="200"/>
    </w:pPr>
    <w:rPr>
      <w:sz w:val="24"/>
      <w:szCs w:val="24"/>
    </w:rPr>
  </w:style>
  <w:style w:type="paragraph" w:styleId="26">
    <w:name w:val="footnote text"/>
    <w:basedOn w:val="1"/>
    <w:link w:val="185"/>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qFormat/>
    <w:uiPriority w:val="0"/>
    <w:pPr>
      <w:spacing w:beforeAutospacing="1" w:afterAutospacing="1"/>
      <w:jc w:val="left"/>
    </w:pPr>
    <w:rPr>
      <w:rFonts w:cs="Times New Roman"/>
      <w:sz w:val="24"/>
    </w:rPr>
  </w:style>
  <w:style w:type="paragraph" w:styleId="32">
    <w:name w:val="Title"/>
    <w:basedOn w:val="1"/>
    <w:next w:val="1"/>
    <w:link w:val="51"/>
    <w:qFormat/>
    <w:uiPriority w:val="10"/>
    <w:pPr>
      <w:spacing w:before="300" w:after="200"/>
      <w:contextualSpacing/>
    </w:pPr>
    <w:rPr>
      <w:sz w:val="48"/>
      <w:szCs w:val="48"/>
    </w:rPr>
  </w:style>
  <w:style w:type="paragraph" w:styleId="33">
    <w:name w:val="Body Text First Indent"/>
    <w:basedOn w:val="14"/>
    <w:unhideWhenUsed/>
    <w:qFormat/>
    <w:uiPriority w:val="99"/>
    <w:pPr>
      <w:ind w:firstLine="420"/>
    </w:pPr>
  </w:style>
  <w:style w:type="table" w:styleId="35">
    <w:name w:val="Table Grid"/>
    <w:basedOn w:val="34"/>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basedOn w:val="36"/>
    <w:qFormat/>
    <w:uiPriority w:val="22"/>
    <w:rPr>
      <w:b/>
    </w:rPr>
  </w:style>
  <w:style w:type="character" w:styleId="38">
    <w:name w:val="endnote reference"/>
    <w:basedOn w:val="36"/>
    <w:semiHidden/>
    <w:unhideWhenUsed/>
    <w:qFormat/>
    <w:uiPriority w:val="99"/>
    <w:rPr>
      <w:vertAlign w:val="superscript"/>
    </w:rPr>
  </w:style>
  <w:style w:type="character" w:styleId="39">
    <w:name w:val="Hyperlink"/>
    <w:unhideWhenUsed/>
    <w:qFormat/>
    <w:uiPriority w:val="99"/>
    <w:rPr>
      <w:color w:val="0563C1" w:themeColor="hyperlink"/>
      <w:u w:val="single"/>
      <w14:textFill>
        <w14:solidFill>
          <w14:schemeClr w14:val="hlink"/>
        </w14:solidFill>
      </w14:textFill>
    </w:rPr>
  </w:style>
  <w:style w:type="character" w:styleId="40">
    <w:name w:val="footnote reference"/>
    <w:basedOn w:val="36"/>
    <w:unhideWhenUsed/>
    <w:qFormat/>
    <w:uiPriority w:val="99"/>
    <w:rPr>
      <w:vertAlign w:val="superscript"/>
    </w:rPr>
  </w:style>
  <w:style w:type="character" w:customStyle="1" w:styleId="41">
    <w:name w:val="Heading 1 Char"/>
    <w:basedOn w:val="36"/>
    <w:qFormat/>
    <w:uiPriority w:val="9"/>
    <w:rPr>
      <w:rFonts w:ascii="Arial" w:hAnsi="Arial" w:eastAsia="Arial" w:cs="Arial"/>
      <w:sz w:val="40"/>
      <w:szCs w:val="40"/>
    </w:rPr>
  </w:style>
  <w:style w:type="character" w:customStyle="1" w:styleId="42">
    <w:name w:val="Heading 2 Char"/>
    <w:basedOn w:val="36"/>
    <w:qFormat/>
    <w:uiPriority w:val="9"/>
    <w:rPr>
      <w:rFonts w:ascii="Arial" w:hAnsi="Arial" w:eastAsia="Arial" w:cs="Arial"/>
      <w:sz w:val="34"/>
    </w:rPr>
  </w:style>
  <w:style w:type="character" w:customStyle="1" w:styleId="43">
    <w:name w:val="Heading 3 Char"/>
    <w:basedOn w:val="36"/>
    <w:qFormat/>
    <w:uiPriority w:val="9"/>
    <w:rPr>
      <w:rFonts w:ascii="Arial" w:hAnsi="Arial" w:eastAsia="Arial" w:cs="Arial"/>
      <w:sz w:val="30"/>
      <w:szCs w:val="30"/>
    </w:rPr>
  </w:style>
  <w:style w:type="character" w:customStyle="1" w:styleId="44">
    <w:name w:val="Heading 4 Char"/>
    <w:basedOn w:val="36"/>
    <w:qFormat/>
    <w:uiPriority w:val="9"/>
    <w:rPr>
      <w:rFonts w:ascii="Arial" w:hAnsi="Arial" w:eastAsia="Arial" w:cs="Arial"/>
      <w:b/>
      <w:bCs/>
      <w:sz w:val="26"/>
      <w:szCs w:val="26"/>
    </w:rPr>
  </w:style>
  <w:style w:type="character" w:customStyle="1" w:styleId="45">
    <w:name w:val="Heading 5 Char"/>
    <w:basedOn w:val="36"/>
    <w:qFormat/>
    <w:uiPriority w:val="9"/>
    <w:rPr>
      <w:rFonts w:ascii="Arial" w:hAnsi="Arial" w:eastAsia="Arial" w:cs="Arial"/>
      <w:b/>
      <w:bCs/>
      <w:sz w:val="24"/>
      <w:szCs w:val="24"/>
    </w:rPr>
  </w:style>
  <w:style w:type="character" w:customStyle="1" w:styleId="46">
    <w:name w:val="Heading 6 Char"/>
    <w:basedOn w:val="36"/>
    <w:link w:val="7"/>
    <w:qFormat/>
    <w:uiPriority w:val="9"/>
    <w:rPr>
      <w:rFonts w:ascii="Arial" w:hAnsi="Arial" w:eastAsia="Arial" w:cs="Arial"/>
      <w:b/>
      <w:bCs/>
      <w:sz w:val="22"/>
      <w:szCs w:val="22"/>
    </w:rPr>
  </w:style>
  <w:style w:type="character" w:customStyle="1" w:styleId="47">
    <w:name w:val="Heading 7 Char"/>
    <w:basedOn w:val="36"/>
    <w:link w:val="8"/>
    <w:qFormat/>
    <w:uiPriority w:val="9"/>
    <w:rPr>
      <w:rFonts w:ascii="Arial" w:hAnsi="Arial" w:eastAsia="Arial" w:cs="Arial"/>
      <w:b/>
      <w:bCs/>
      <w:i/>
      <w:iCs/>
      <w:sz w:val="22"/>
      <w:szCs w:val="22"/>
    </w:rPr>
  </w:style>
  <w:style w:type="character" w:customStyle="1" w:styleId="48">
    <w:name w:val="Heading 8 Char"/>
    <w:basedOn w:val="36"/>
    <w:link w:val="9"/>
    <w:qFormat/>
    <w:uiPriority w:val="9"/>
    <w:rPr>
      <w:rFonts w:ascii="Arial" w:hAnsi="Arial" w:eastAsia="Arial" w:cs="Arial"/>
      <w:i/>
      <w:iCs/>
      <w:sz w:val="22"/>
      <w:szCs w:val="22"/>
    </w:rPr>
  </w:style>
  <w:style w:type="character" w:customStyle="1" w:styleId="49">
    <w:name w:val="Heading 9 Char"/>
    <w:basedOn w:val="36"/>
    <w:link w:val="10"/>
    <w:qFormat/>
    <w:uiPriority w:val="9"/>
    <w:rPr>
      <w:rFonts w:ascii="Arial" w:hAnsi="Arial" w:eastAsia="Arial" w:cs="Arial"/>
      <w:i/>
      <w:iCs/>
      <w:sz w:val="21"/>
      <w:szCs w:val="21"/>
    </w:r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basedOn w:val="36"/>
    <w:link w:val="32"/>
    <w:qFormat/>
    <w:uiPriority w:val="10"/>
    <w:rPr>
      <w:sz w:val="48"/>
      <w:szCs w:val="48"/>
    </w:rPr>
  </w:style>
  <w:style w:type="character" w:customStyle="1" w:styleId="52">
    <w:name w:val="Subtitle Char"/>
    <w:basedOn w:val="36"/>
    <w:link w:val="25"/>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basedOn w:val="36"/>
    <w:qFormat/>
    <w:uiPriority w:val="99"/>
  </w:style>
  <w:style w:type="character" w:customStyle="1" w:styleId="58">
    <w:name w:val="Footer Char"/>
    <w:basedOn w:val="36"/>
    <w:qFormat/>
    <w:uiPriority w:val="99"/>
  </w:style>
  <w:style w:type="character" w:customStyle="1" w:styleId="59">
    <w:name w:val="Caption Char"/>
    <w:qFormat/>
    <w:uiPriority w:val="99"/>
  </w:style>
  <w:style w:type="table" w:customStyle="1" w:styleId="60">
    <w:name w:val="Table Grid Light"/>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basedOn w:val="3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basedOn w:val="34"/>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8">
    <w:name w:val="Grid Table 1 Light - Accent 2"/>
    <w:basedOn w:val="3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9">
    <w:name w:val="Grid Table 1 Light - Accent 3"/>
    <w:basedOn w:val="3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0">
    <w:name w:val="Grid Table 1 Light - Accent 4"/>
    <w:basedOn w:val="3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1">
    <w:name w:val="Grid Table 1 Light - Accent 5"/>
    <w:basedOn w:val="34"/>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2">
    <w:name w:val="Grid Table 1 Light - Accent 6"/>
    <w:basedOn w:val="3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3">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basedOn w:val="34"/>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5">
    <w:name w:val="Grid Table 2 - Accent 2"/>
    <w:basedOn w:val="3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6">
    <w:name w:val="Grid Table 2 - Accent 3"/>
    <w:basedOn w:val="3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7">
    <w:name w:val="Grid Table 2 - Accent 4"/>
    <w:basedOn w:val="3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8">
    <w:name w:val="Grid Table 2 - Accent 5"/>
    <w:basedOn w:val="34"/>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79">
    <w:name w:val="Grid Table 2 - Accent 6"/>
    <w:basedOn w:val="3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0">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basedOn w:val="34"/>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2">
    <w:name w:val="Grid Table 3 - Accent 2"/>
    <w:basedOn w:val="3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3">
    <w:name w:val="Grid Table 3 - Accent 3"/>
    <w:basedOn w:val="3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4">
    <w:name w:val="Grid Table 3 - Accent 4"/>
    <w:basedOn w:val="3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5">
    <w:name w:val="Grid Table 3 - Accent 5"/>
    <w:basedOn w:val="34"/>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6">
    <w:name w:val="Grid Table 3 - Accent 6"/>
    <w:basedOn w:val="3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7">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basedOn w:val="34"/>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89">
    <w:name w:val="Grid Table 4 - Accent 2"/>
    <w:basedOn w:val="34"/>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0">
    <w:name w:val="Grid Table 4 - Accent 3"/>
    <w:basedOn w:val="34"/>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1">
    <w:name w:val="Grid Table 4 - Accent 4"/>
    <w:basedOn w:val="34"/>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2">
    <w:name w:val="Grid Table 4 - Accent 5"/>
    <w:basedOn w:val="34"/>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3">
    <w:name w:val="Grid Table 4 - Accent 6"/>
    <w:basedOn w:val="34"/>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4">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6">
    <w:name w:val="Grid Table 5 Dark - Accent 2"/>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7">
    <w:name w:val="Grid Table 5 Dark - Accent 3"/>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8">
    <w:name w:val="Grid Table 5 Dark- Accent 4"/>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99">
    <w:name w:val="Grid Table 5 Dark - Accent 5"/>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0">
    <w:name w:val="Grid Table 5 Dark - Accent 6"/>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1">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basedOn w:val="34"/>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basedOn w:val="3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basedOn w:val="34"/>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basedOn w:val="3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basedOn w:val="34"/>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7">
    <w:name w:val="Grid Table 6 Colorful - Accent 6"/>
    <w:basedOn w:val="34"/>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8">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basedOn w:val="34"/>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basedOn w:val="34"/>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basedOn w:val="34"/>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basedOn w:val="34"/>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basedOn w:val="34"/>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4">
    <w:name w:val="Grid Table 7 Colorful - Accent 6"/>
    <w:basedOn w:val="34"/>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5">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basedOn w:val="34"/>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7">
    <w:name w:val="List Table 1 Light - Accent 2"/>
    <w:basedOn w:val="34"/>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8">
    <w:name w:val="List Table 1 Light - Accent 3"/>
    <w:basedOn w:val="34"/>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19">
    <w:name w:val="List Table 1 Light - Accent 4"/>
    <w:basedOn w:val="34"/>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0">
    <w:name w:val="List Table 1 Light - Accent 5"/>
    <w:basedOn w:val="34"/>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1">
    <w:name w:val="List Table 1 Light - Accent 6"/>
    <w:basedOn w:val="34"/>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2">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basedOn w:val="34"/>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4">
    <w:name w:val="List Table 2 - Accent 2"/>
    <w:basedOn w:val="34"/>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5">
    <w:name w:val="List Table 2 - Accent 3"/>
    <w:basedOn w:val="34"/>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6">
    <w:name w:val="List Table 2 - Accent 4"/>
    <w:basedOn w:val="34"/>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7">
    <w:name w:val="List Table 2 - Accent 5"/>
    <w:basedOn w:val="34"/>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8">
    <w:name w:val="List Table 2 - Accent 6"/>
    <w:basedOn w:val="34"/>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9">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basedOn w:val="34"/>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1">
    <w:name w:val="List Table 3 - Accent 2"/>
    <w:basedOn w:val="3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2">
    <w:name w:val="List Table 3 - Accent 3"/>
    <w:basedOn w:val="34"/>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3">
    <w:name w:val="List Table 3 - Accent 4"/>
    <w:basedOn w:val="3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4">
    <w:name w:val="List Table 3 - Accent 5"/>
    <w:basedOn w:val="34"/>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5">
    <w:name w:val="List Table 3 - Accent 6"/>
    <w:basedOn w:val="34"/>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6">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basedOn w:val="34"/>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8">
    <w:name w:val="List Table 4 - Accent 2"/>
    <w:basedOn w:val="34"/>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9">
    <w:name w:val="List Table 4 - Accent 3"/>
    <w:basedOn w:val="34"/>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0">
    <w:name w:val="List Table 4 - Accent 4"/>
    <w:basedOn w:val="34"/>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1">
    <w:name w:val="List Table 4 - Accent 5"/>
    <w:basedOn w:val="34"/>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2">
    <w:name w:val="List Table 4 - Accent 6"/>
    <w:basedOn w:val="34"/>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3">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basedOn w:val="34"/>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5">
    <w:name w:val="List Table 5 Dark - Accent 2"/>
    <w:basedOn w:val="34"/>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6">
    <w:name w:val="List Table 5 Dark - Accent 3"/>
    <w:basedOn w:val="34"/>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7">
    <w:name w:val="List Table 5 Dark - Accent 4"/>
    <w:basedOn w:val="34"/>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8">
    <w:name w:val="List Table 5 Dark - Accent 5"/>
    <w:basedOn w:val="34"/>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49">
    <w:name w:val="List Table 5 Dark - Accent 6"/>
    <w:basedOn w:val="34"/>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0">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basedOn w:val="34"/>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2">
    <w:name w:val="List Table 6 Colorful - Accent 2"/>
    <w:basedOn w:val="34"/>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basedOn w:val="34"/>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basedOn w:val="34"/>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basedOn w:val="34"/>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basedOn w:val="34"/>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7">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basedOn w:val="34"/>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9">
    <w:name w:val="List Table 7 Colorful - Accent 2"/>
    <w:basedOn w:val="34"/>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basedOn w:val="34"/>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basedOn w:val="34"/>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basedOn w:val="34"/>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basedOn w:val="34"/>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4">
    <w:name w:val="Lined - Accent"/>
    <w:basedOn w:val="3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basedOn w:val="34"/>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6">
    <w:name w:val="Lined - Accent 2"/>
    <w:basedOn w:val="34"/>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7">
    <w:name w:val="Lined - Accent 3"/>
    <w:basedOn w:val="34"/>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8">
    <w:name w:val="Lined - Accent 4"/>
    <w:basedOn w:val="34"/>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69">
    <w:name w:val="Lined - Accent 5"/>
    <w:basedOn w:val="34"/>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0">
    <w:name w:val="Lined - Accent 6"/>
    <w:basedOn w:val="34"/>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1">
    <w:name w:val="Bordered &amp; Lined - Accent"/>
    <w:basedOn w:val="3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basedOn w:val="34"/>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3">
    <w:name w:val="Bordered &amp; Lined - Accent 2"/>
    <w:basedOn w:val="34"/>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4">
    <w:name w:val="Bordered &amp; Lined - Accent 3"/>
    <w:basedOn w:val="34"/>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5">
    <w:name w:val="Bordered &amp; Lined - Accent 4"/>
    <w:basedOn w:val="34"/>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6">
    <w:name w:val="Bordered &amp; Lined - Accent 5"/>
    <w:basedOn w:val="34"/>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7">
    <w:name w:val="Bordered &amp; Lined - Accent 6"/>
    <w:basedOn w:val="34"/>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8">
    <w:name w:val="Bordered"/>
    <w:basedOn w:val="3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basedOn w:val="34"/>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0">
    <w:name w:val="Bordered - Accent 2"/>
    <w:basedOn w:val="3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1">
    <w:name w:val="Bordered - Accent 3"/>
    <w:basedOn w:val="3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2">
    <w:name w:val="Bordered - Accent 4"/>
    <w:basedOn w:val="3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3">
    <w:name w:val="Bordered - Accent 5"/>
    <w:basedOn w:val="34"/>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4">
    <w:name w:val="Bordered - Accent 6"/>
    <w:basedOn w:val="3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5">
    <w:name w:val="Footnote Text Char"/>
    <w:link w:val="26"/>
    <w:qFormat/>
    <w:uiPriority w:val="99"/>
    <w:rPr>
      <w:sz w:val="18"/>
    </w:rPr>
  </w:style>
  <w:style w:type="character" w:customStyle="1" w:styleId="186">
    <w:name w:val="Endnote Text Char"/>
    <w:link w:val="20"/>
    <w:qFormat/>
    <w:uiPriority w:val="99"/>
    <w:rPr>
      <w:sz w:val="20"/>
    </w:rPr>
  </w:style>
  <w:style w:type="paragraph" w:customStyle="1" w:styleId="187">
    <w:name w:val="TOC Heading"/>
    <w:unhideWhenUsed/>
    <w:qFormat/>
    <w:uiPriority w:val="39"/>
    <w:rPr>
      <w:rFonts w:hint="default" w:ascii="Times New Roman" w:hAnsi="Times New Roman" w:eastAsia="宋体" w:cs="Times New Roman"/>
    </w:rPr>
  </w:style>
  <w:style w:type="character" w:customStyle="1" w:styleId="188">
    <w:name w:val="页眉 Char"/>
    <w:basedOn w:val="36"/>
    <w:link w:val="22"/>
    <w:qFormat/>
    <w:uiPriority w:val="0"/>
    <w:rPr>
      <w:rFonts w:asciiTheme="minorHAnsi" w:hAnsiTheme="minorHAnsi" w:eastAsiaTheme="minorEastAsia" w:cstheme="minorBidi"/>
      <w:sz w:val="18"/>
      <w:szCs w:val="18"/>
    </w:rPr>
  </w:style>
  <w:style w:type="character" w:customStyle="1" w:styleId="189">
    <w:name w:val="页脚 Char"/>
    <w:basedOn w:val="36"/>
    <w:link w:val="21"/>
    <w:qFormat/>
    <w:uiPriority w:val="0"/>
    <w:rPr>
      <w:rFonts w:asciiTheme="minorHAnsi" w:hAnsiTheme="minorHAnsi" w:eastAsiaTheme="minorEastAsia" w:cstheme="minorBidi"/>
      <w:sz w:val="18"/>
      <w:szCs w:val="18"/>
    </w:rPr>
  </w:style>
  <w:style w:type="paragraph" w:customStyle="1" w:styleId="19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191">
    <w:name w:val="页脚1"/>
    <w:basedOn w:val="1"/>
    <w:unhideWhenUsed/>
    <w:qFormat/>
    <w:uiPriority w:val="99"/>
    <w:pPr>
      <w:tabs>
        <w:tab w:val="center" w:pos="4153"/>
        <w:tab w:val="right" w:pos="8306"/>
      </w:tabs>
      <w:jc w:val="left"/>
    </w:pPr>
    <w:rPr>
      <w:sz w:val="18"/>
      <w:szCs w:val="18"/>
    </w:rPr>
  </w:style>
  <w:style w:type="paragraph" w:customStyle="1" w:styleId="192">
    <w:name w:val="普通正文"/>
    <w:basedOn w:val="1"/>
    <w:qFormat/>
    <w:uiPriority w:val="0"/>
    <w:pPr>
      <w:spacing w:before="120" w:after="120" w:line="360" w:lineRule="auto"/>
      <w:ind w:firstLine="480"/>
      <w:jc w:val="left"/>
    </w:pPr>
    <w:rPr>
      <w:rFonts w:ascii="Arial" w:hAnsi="Arial" w:eastAsia="等线" w:cs="Arial"/>
      <w:sz w:val="24"/>
      <w:szCs w:val="24"/>
    </w:rPr>
  </w:style>
  <w:style w:type="paragraph" w:customStyle="1" w:styleId="193">
    <w:name w:val="标题 31"/>
    <w:basedOn w:val="1"/>
    <w:next w:val="194"/>
    <w:qFormat/>
    <w:uiPriority w:val="0"/>
    <w:pPr>
      <w:keepNext/>
      <w:keepLines/>
      <w:spacing w:before="260" w:after="260" w:line="416" w:lineRule="auto"/>
      <w:outlineLvl w:val="2"/>
    </w:pPr>
    <w:rPr>
      <w:b/>
      <w:bCs/>
      <w:sz w:val="32"/>
      <w:szCs w:val="32"/>
    </w:rPr>
  </w:style>
  <w:style w:type="paragraph" w:customStyle="1" w:styleId="194">
    <w:name w:val="正文缩进1"/>
    <w:basedOn w:val="1"/>
    <w:qFormat/>
    <w:uiPriority w:val="0"/>
    <w:pPr>
      <w:ind w:firstLine="420"/>
    </w:pPr>
  </w:style>
  <w:style w:type="paragraph" w:customStyle="1" w:styleId="195">
    <w:name w:val="标题 41"/>
    <w:basedOn w:val="1"/>
    <w:next w:val="194"/>
    <w:qFormat/>
    <w:uiPriority w:val="9"/>
    <w:pPr>
      <w:keepNext/>
      <w:keepLines/>
      <w:spacing w:before="280" w:after="290" w:line="376" w:lineRule="auto"/>
      <w:outlineLvl w:val="3"/>
    </w:pPr>
    <w:rPr>
      <w:rFonts w:ascii="Arial" w:hAnsi="Arial" w:eastAsia="黑体"/>
      <w:b/>
      <w:bCs/>
      <w:sz w:val="28"/>
      <w:szCs w:val="28"/>
    </w:rPr>
  </w:style>
  <w:style w:type="paragraph" w:customStyle="1" w:styleId="196">
    <w:name w:val="正文文本1"/>
    <w:basedOn w:val="1"/>
    <w:qFormat/>
    <w:uiPriority w:val="99"/>
    <w:rPr>
      <w:rFonts w:ascii="楷体_GB2312" w:hAnsi="Arial" w:eastAsia="楷体_GB2312"/>
      <w:sz w:val="28"/>
      <w:szCs w:val="28"/>
    </w:rPr>
  </w:style>
  <w:style w:type="paragraph" w:customStyle="1" w:styleId="197">
    <w:name w:val="纯文本1"/>
    <w:basedOn w:val="1"/>
    <w:qFormat/>
    <w:uiPriority w:val="0"/>
    <w:rPr>
      <w:rFonts w:ascii="宋体" w:hAnsi="Courier New"/>
    </w:rPr>
  </w:style>
  <w:style w:type="paragraph" w:styleId="198">
    <w:name w:val="List Paragraph"/>
    <w:basedOn w:val="1"/>
    <w:qFormat/>
    <w:uiPriority w:val="34"/>
    <w:pPr>
      <w:ind w:firstLine="420"/>
    </w:pPr>
    <w:rPr>
      <w:rFonts w:eastAsia="宋体"/>
    </w:rPr>
  </w:style>
  <w:style w:type="paragraph" w:customStyle="1" w:styleId="199">
    <w:name w:val="!正文"/>
    <w:basedOn w:val="1"/>
    <w:qFormat/>
    <w:uiPriority w:val="0"/>
    <w:pPr>
      <w:widowControl/>
    </w:pPr>
    <w:rPr>
      <w:szCs w:val="28"/>
    </w:rPr>
  </w:style>
  <w:style w:type="paragraph" w:customStyle="1" w:styleId="200">
    <w:name w:val="KX正文"/>
    <w:basedOn w:val="1"/>
    <w:qFormat/>
    <w:uiPriority w:val="0"/>
    <w:pPr>
      <w:spacing w:line="440" w:lineRule="exact"/>
      <w:jc w:val="left"/>
    </w:pPr>
    <w:rPr>
      <w:rFonts w:ascii="仿宋_GB2312" w:hAnsi="Calibri" w:eastAsia="仿宋_GB2312" w:cs="Times New Roman"/>
      <w:sz w:val="28"/>
      <w:szCs w:val="20"/>
    </w:rPr>
  </w:style>
  <w:style w:type="paragraph" w:customStyle="1" w:styleId="201">
    <w:name w:val="msolistparagraph"/>
    <w:basedOn w:val="1"/>
    <w:qFormat/>
    <w:uiPriority w:val="0"/>
    <w:pPr>
      <w:ind w:firstLine="420"/>
    </w:pPr>
    <w:rPr>
      <w:rFonts w:hint="eastAsia" w:ascii="等线" w:hAnsi="等线" w:eastAsia="宋体" w:cs="Times New Roman"/>
    </w:rPr>
  </w:style>
  <w:style w:type="character" w:customStyle="1" w:styleId="202">
    <w:name w:val="font51"/>
    <w:basedOn w:val="36"/>
    <w:qFormat/>
    <w:uiPriority w:val="0"/>
    <w:rPr>
      <w:rFonts w:hint="eastAsia" w:ascii="微软雅黑" w:hAnsi="微软雅黑" w:eastAsia="微软雅黑" w:cs="微软雅黑"/>
      <w:color w:val="000000"/>
      <w:sz w:val="18"/>
      <w:szCs w:val="18"/>
      <w:u w:val="none"/>
    </w:rPr>
  </w:style>
  <w:style w:type="character" w:customStyle="1" w:styleId="203">
    <w:name w:val="font61"/>
    <w:basedOn w:val="36"/>
    <w:qFormat/>
    <w:uiPriority w:val="0"/>
    <w:rPr>
      <w:rFonts w:hint="eastAsia" w:ascii="微软雅黑" w:hAnsi="微软雅黑" w:eastAsia="微软雅黑" w:cs="微软雅黑"/>
      <w:color w:val="FF0000"/>
      <w:sz w:val="18"/>
      <w:szCs w:val="18"/>
      <w:u w:val="none"/>
    </w:rPr>
  </w:style>
  <w:style w:type="paragraph" w:customStyle="1" w:styleId="204">
    <w:name w:val="Table Paragraph"/>
    <w:basedOn w:val="1"/>
    <w:qFormat/>
    <w:uiPriority w:val="1"/>
    <w:pPr>
      <w:jc w:val="left"/>
    </w:pPr>
    <w:rPr>
      <w:rFonts w:ascii="等线" w:hAnsi="等线" w:eastAsia="等线"/>
      <w:sz w:val="22"/>
      <w:szCs w:val="22"/>
      <w:lang w:eastAsia="en-US"/>
    </w:rPr>
  </w:style>
  <w:style w:type="paragraph" w:customStyle="1" w:styleId="205">
    <w:name w:val="正文文本首行缩进 2"/>
    <w:basedOn w:val="206"/>
    <w:next w:val="194"/>
    <w:qFormat/>
    <w:uiPriority w:val="0"/>
    <w:pPr>
      <w:spacing w:line="360" w:lineRule="auto"/>
      <w:ind w:firstLine="420"/>
    </w:pPr>
    <w:rPr>
      <w:rFonts w:ascii="宋体" w:hAnsi="宋体" w:eastAsia="宋体"/>
      <w:sz w:val="21"/>
      <w:szCs w:val="20"/>
    </w:rPr>
  </w:style>
  <w:style w:type="paragraph" w:customStyle="1" w:styleId="206">
    <w:name w:val="正文文本缩进1"/>
    <w:basedOn w:val="1"/>
    <w:next w:val="207"/>
    <w:qFormat/>
    <w:uiPriority w:val="99"/>
    <w:pPr>
      <w:ind w:firstLine="645"/>
    </w:pPr>
    <w:rPr>
      <w:rFonts w:ascii="楷体_GB2312" w:eastAsia="楷体_GB2312"/>
      <w:sz w:val="32"/>
      <w:szCs w:val="32"/>
    </w:rPr>
  </w:style>
  <w:style w:type="paragraph" w:customStyle="1" w:styleId="207">
    <w:name w:val="寄信人地址1"/>
    <w:basedOn w:val="1"/>
    <w:qFormat/>
    <w:uiPriority w:val="0"/>
    <w:rPr>
      <w:rFonts w:ascii="Arial" w:hAnsi="Arial"/>
    </w:rPr>
  </w:style>
  <w:style w:type="paragraph" w:customStyle="1" w:styleId="208">
    <w:name w:val="标题 21"/>
    <w:basedOn w:val="1"/>
    <w:next w:val="194"/>
    <w:qFormat/>
    <w:uiPriority w:val="9"/>
    <w:pPr>
      <w:keepNext/>
      <w:keepLines/>
      <w:spacing w:before="260" w:after="260" w:line="416" w:lineRule="auto"/>
      <w:jc w:val="center"/>
      <w:outlineLvl w:val="1"/>
    </w:pPr>
    <w:rPr>
      <w:rFonts w:ascii="Arial" w:hAnsi="Arial" w:eastAsia="幼圆"/>
      <w:b/>
      <w:bCs/>
      <w:sz w:val="44"/>
      <w:szCs w:val="44"/>
    </w:rPr>
  </w:style>
  <w:style w:type="paragraph" w:customStyle="1" w:styleId="209">
    <w:name w:val="WPSOffice手动目录 1"/>
    <w:qFormat/>
    <w:uiPriority w:val="0"/>
    <w:rPr>
      <w:rFonts w:hint="default"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116</Pages>
  <Words>19806</Words>
  <Characters>21799</Characters>
  <TotalTime>28</TotalTime>
  <ScaleCrop>false</ScaleCrop>
  <LinksUpToDate>false</LinksUpToDate>
  <CharactersWithSpaces>22316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开心</cp:lastModifiedBy>
  <dcterms:modified xsi:type="dcterms:W3CDTF">2025-12-01T02:53:31Z</dcterms:modified>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2A1138582C8D4800BE075B193EDDB080_13</vt:lpwstr>
  </property>
  <property fmtid="{D5CDD505-2E9C-101B-9397-08002B2CF9AE}" pid="4" name="KSOTemplateDocerSaveRecord">
    <vt:lpwstr>eyJoZGlkIjoiOWQ4YjViNWZlZDU1M2MyMGJkYmUxZjMwNzI2YjQ2MzQiLCJ1c2VySWQiOiI0MTY4ODI0NTEifQ==</vt:lpwstr>
  </property>
</Properties>
</file>